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B6A03" w14:textId="77777777" w:rsidR="00135254" w:rsidRDefault="00135254" w:rsidP="00135254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9CEB0BC" w14:textId="77777777" w:rsidR="00135254" w:rsidRPr="00F27BA9" w:rsidRDefault="00135254" w:rsidP="00135254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BA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1926C6C" wp14:editId="295654CF">
            <wp:extent cx="5940000" cy="63969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no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63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E641" w14:textId="77777777" w:rsidR="00135254" w:rsidRPr="00F27BA9" w:rsidRDefault="00135254" w:rsidP="00135254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</w:rPr>
      </w:pPr>
    </w:p>
    <w:p w14:paraId="68B409CD" w14:textId="77777777" w:rsidR="00135254" w:rsidRDefault="00135254" w:rsidP="00135254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</w:rPr>
      </w:pPr>
    </w:p>
    <w:p w14:paraId="5DE8F488" w14:textId="77777777" w:rsidR="00135254" w:rsidRDefault="00135254" w:rsidP="00135254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</w:rPr>
      </w:pPr>
    </w:p>
    <w:p w14:paraId="122D77A4" w14:textId="77777777" w:rsidR="00135254" w:rsidRDefault="00135254" w:rsidP="00135254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</w:rPr>
      </w:pPr>
    </w:p>
    <w:p w14:paraId="1FA88526" w14:textId="77777777" w:rsidR="00135254" w:rsidRDefault="00135254" w:rsidP="00135254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</w:rPr>
      </w:pPr>
    </w:p>
    <w:p w14:paraId="2E11A523" w14:textId="77777777" w:rsidR="00135254" w:rsidRDefault="00135254" w:rsidP="00135254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</w:rPr>
      </w:pPr>
    </w:p>
    <w:p w14:paraId="3585BAD1" w14:textId="77777777" w:rsidR="00135254" w:rsidRPr="007761D5" w:rsidRDefault="00135254" w:rsidP="00135254">
      <w:pPr>
        <w:pStyle w:val="Listparagraf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>RAPORT PRIVIND ACTIVITATEA PENTRU ANUL 2023 A COMITETULUI DE NOMINALIZARE ȘI REMUNERARE DIN CADRUL CONSILIULUI DE ADMINISTRAȚIE AL AQUATIM S.A.</w:t>
      </w:r>
    </w:p>
    <w:p w14:paraId="665CB85E" w14:textId="77777777" w:rsidR="00135254" w:rsidRDefault="00135254" w:rsidP="00135254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CF9F74C" w14:textId="77777777" w:rsidR="00135254" w:rsidRPr="00135254" w:rsidRDefault="00135254" w:rsidP="00135254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C90FC0C" w14:textId="77777777" w:rsidR="00135254" w:rsidRDefault="00135254" w:rsidP="00135254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</w:rPr>
      </w:pPr>
    </w:p>
    <w:p w14:paraId="24ADCB4C" w14:textId="77777777" w:rsidR="00135254" w:rsidRPr="00F27BA9" w:rsidRDefault="00135254" w:rsidP="00135254">
      <w:pPr>
        <w:spacing w:after="0" w:line="240" w:lineRule="auto"/>
        <w:ind w:right="540"/>
        <w:rPr>
          <w:rFonts w:ascii="Times New Roman" w:eastAsia="Times New Roman" w:hAnsi="Times New Roman" w:cs="Times New Roman"/>
          <w:sz w:val="40"/>
          <w:szCs w:val="40"/>
        </w:rPr>
      </w:pPr>
    </w:p>
    <w:p w14:paraId="3A5CF6FB" w14:textId="77777777" w:rsidR="00135254" w:rsidRPr="00F27BA9" w:rsidRDefault="00135254" w:rsidP="00135254">
      <w:pPr>
        <w:spacing w:after="0" w:line="240" w:lineRule="auto"/>
        <w:ind w:right="540"/>
        <w:rPr>
          <w:rFonts w:asciiTheme="majorBidi" w:eastAsia="Times New Roman" w:hAnsiTheme="majorBidi" w:cstheme="majorBidi"/>
          <w:sz w:val="28"/>
          <w:szCs w:val="28"/>
          <w:lang w:val="it-IT"/>
        </w:rPr>
      </w:pP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5580"/>
      </w:tblGrid>
      <w:tr w:rsidR="00135254" w:rsidRPr="00F27BA9" w14:paraId="253E230C" w14:textId="77777777" w:rsidTr="008A78EA">
        <w:trPr>
          <w:trHeight w:hRule="exact" w:val="667"/>
        </w:trPr>
        <w:tc>
          <w:tcPr>
            <w:tcW w:w="4680" w:type="dxa"/>
            <w:shd w:val="clear" w:color="auto" w:fill="FFFFFF"/>
            <w:vAlign w:val="center"/>
          </w:tcPr>
          <w:p w14:paraId="1B7BC2E4" w14:textId="77777777" w:rsidR="00135254" w:rsidRPr="00F27BA9" w:rsidRDefault="00135254" w:rsidP="008A78EA">
            <w:pPr>
              <w:widowControl w:val="0"/>
              <w:spacing w:after="0" w:line="240" w:lineRule="exac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Data raportului: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75F07825" w14:textId="77777777" w:rsidR="00135254" w:rsidRPr="00F27BA9" w:rsidRDefault="00135254" w:rsidP="008A78EA">
            <w:pPr>
              <w:widowControl w:val="0"/>
              <w:spacing w:after="0" w:line="260" w:lineRule="exact"/>
              <w:ind w:left="2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31.12.2023</w:t>
            </w:r>
          </w:p>
        </w:tc>
      </w:tr>
      <w:tr w:rsidR="00135254" w:rsidRPr="00F27BA9" w14:paraId="0D1FBE18" w14:textId="77777777" w:rsidTr="008A78EA">
        <w:trPr>
          <w:trHeight w:hRule="exact" w:val="624"/>
        </w:trPr>
        <w:tc>
          <w:tcPr>
            <w:tcW w:w="4680" w:type="dxa"/>
            <w:shd w:val="clear" w:color="auto" w:fill="FFFFFF"/>
            <w:vAlign w:val="center"/>
          </w:tcPr>
          <w:p w14:paraId="5BD343B9" w14:textId="77777777" w:rsidR="00135254" w:rsidRPr="00F27BA9" w:rsidRDefault="00135254" w:rsidP="008A78EA">
            <w:pPr>
              <w:widowControl w:val="0"/>
              <w:spacing w:after="0" w:line="240" w:lineRule="exac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Denumirea societății: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52D9EB2B" w14:textId="77777777" w:rsidR="00135254" w:rsidRPr="00F27BA9" w:rsidRDefault="00135254" w:rsidP="008A78EA">
            <w:pPr>
              <w:widowControl w:val="0"/>
              <w:spacing w:after="0" w:line="260" w:lineRule="exact"/>
              <w:ind w:left="2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AQUATIM SA</w:t>
            </w:r>
          </w:p>
        </w:tc>
      </w:tr>
      <w:tr w:rsidR="00135254" w:rsidRPr="00F27BA9" w14:paraId="3C53D508" w14:textId="77777777" w:rsidTr="008A78EA">
        <w:trPr>
          <w:trHeight w:hRule="exact" w:val="696"/>
        </w:trPr>
        <w:tc>
          <w:tcPr>
            <w:tcW w:w="4680" w:type="dxa"/>
            <w:shd w:val="clear" w:color="auto" w:fill="FFFFFF"/>
            <w:vAlign w:val="center"/>
          </w:tcPr>
          <w:p w14:paraId="15CC60A9" w14:textId="77777777" w:rsidR="00135254" w:rsidRPr="00F27BA9" w:rsidRDefault="00135254" w:rsidP="008A78EA">
            <w:pPr>
              <w:widowControl w:val="0"/>
              <w:spacing w:after="0" w:line="240" w:lineRule="exac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Sediul social: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5CA4E0E0" w14:textId="77777777" w:rsidR="00135254" w:rsidRPr="00F27BA9" w:rsidRDefault="00135254" w:rsidP="008A78EA">
            <w:pPr>
              <w:widowControl w:val="0"/>
              <w:spacing w:after="0" w:line="260" w:lineRule="exact"/>
              <w:ind w:left="200"/>
              <w:rPr>
                <w:rFonts w:asciiTheme="majorBidi" w:eastAsia="Times New Roman" w:hAnsiTheme="majorBidi" w:cstheme="majorBidi"/>
                <w:sz w:val="28"/>
                <w:szCs w:val="28"/>
                <w:lang w:val="it-IT"/>
              </w:rPr>
            </w:pPr>
            <w:proofErr w:type="spellStart"/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lang w:val="it-IT"/>
              </w:rPr>
              <w:t>Str</w:t>
            </w:r>
            <w:proofErr w:type="spellEnd"/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lang w:val="it-IT"/>
              </w:rPr>
              <w:t xml:space="preserve">. Gheorghe </w:t>
            </w:r>
            <w:proofErr w:type="spellStart"/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lang w:val="it-IT"/>
              </w:rPr>
              <w:t>Lazăr</w:t>
            </w:r>
            <w:proofErr w:type="spellEnd"/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lang w:val="it-IT"/>
              </w:rPr>
              <w:t xml:space="preserve"> nr. 11 A, </w:t>
            </w:r>
            <w:proofErr w:type="spellStart"/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lang w:val="it-IT"/>
              </w:rPr>
              <w:t>Timișoara</w:t>
            </w:r>
            <w:proofErr w:type="spellEnd"/>
          </w:p>
        </w:tc>
      </w:tr>
      <w:tr w:rsidR="00135254" w:rsidRPr="00F27BA9" w14:paraId="3CF5363D" w14:textId="77777777" w:rsidTr="008A78EA">
        <w:trPr>
          <w:trHeight w:hRule="exact" w:val="550"/>
        </w:trPr>
        <w:tc>
          <w:tcPr>
            <w:tcW w:w="4680" w:type="dxa"/>
            <w:shd w:val="clear" w:color="auto" w:fill="FFFFFF"/>
            <w:vAlign w:val="center"/>
          </w:tcPr>
          <w:p w14:paraId="77205DB5" w14:textId="77777777" w:rsidR="00135254" w:rsidRPr="00F27BA9" w:rsidRDefault="00135254" w:rsidP="008A78EA">
            <w:pPr>
              <w:widowControl w:val="0"/>
              <w:spacing w:after="0" w:line="240" w:lineRule="exac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Număr de telefon: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2FB7E5BC" w14:textId="77777777" w:rsidR="00135254" w:rsidRPr="00F27BA9" w:rsidRDefault="00135254" w:rsidP="008A78EA">
            <w:pPr>
              <w:widowControl w:val="0"/>
              <w:spacing w:after="0" w:line="260" w:lineRule="exact"/>
              <w:ind w:left="2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sz w:val="28"/>
                <w:szCs w:val="28"/>
              </w:rPr>
              <w:t>+40 256 201 370</w:t>
            </w:r>
          </w:p>
        </w:tc>
      </w:tr>
      <w:tr w:rsidR="00135254" w:rsidRPr="00F27BA9" w14:paraId="7C0B4ED7" w14:textId="77777777" w:rsidTr="008A78EA">
        <w:trPr>
          <w:trHeight w:hRule="exact" w:val="649"/>
        </w:trPr>
        <w:tc>
          <w:tcPr>
            <w:tcW w:w="4680" w:type="dxa"/>
            <w:shd w:val="clear" w:color="auto" w:fill="FFFFFF"/>
            <w:vAlign w:val="center"/>
          </w:tcPr>
          <w:p w14:paraId="262E8CF1" w14:textId="77777777" w:rsidR="00135254" w:rsidRPr="00F27BA9" w:rsidRDefault="00135254" w:rsidP="008A78E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Fax: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62E1B7AA" w14:textId="77777777" w:rsidR="00135254" w:rsidRPr="00F27BA9" w:rsidRDefault="00135254" w:rsidP="008A78EA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hAnsiTheme="majorBidi" w:cstheme="majorBidi"/>
                <w:sz w:val="28"/>
                <w:szCs w:val="28"/>
              </w:rPr>
              <w:t xml:space="preserve">   +40 256 294753</w:t>
            </w:r>
          </w:p>
          <w:p w14:paraId="084FE4DB" w14:textId="77777777" w:rsidR="00135254" w:rsidRPr="00F27BA9" w:rsidRDefault="00135254" w:rsidP="008A78EA">
            <w:pPr>
              <w:widowControl w:val="0"/>
              <w:spacing w:after="0" w:line="260" w:lineRule="exact"/>
              <w:ind w:left="2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35254" w:rsidRPr="00F27BA9" w14:paraId="66A31377" w14:textId="77777777" w:rsidTr="008A78EA">
        <w:trPr>
          <w:trHeight w:hRule="exact" w:val="428"/>
        </w:trPr>
        <w:tc>
          <w:tcPr>
            <w:tcW w:w="4680" w:type="dxa"/>
            <w:shd w:val="clear" w:color="auto" w:fill="FFFFFF"/>
            <w:vAlign w:val="center"/>
          </w:tcPr>
          <w:p w14:paraId="58DC9187" w14:textId="77777777" w:rsidR="00135254" w:rsidRPr="00F27BA9" w:rsidRDefault="00135254" w:rsidP="008A78EA">
            <w:pPr>
              <w:widowControl w:val="0"/>
              <w:spacing w:after="0" w:line="240" w:lineRule="exac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E-Mail: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20C7D8F6" w14:textId="77777777" w:rsidR="00135254" w:rsidRPr="00F27BA9" w:rsidRDefault="00135254" w:rsidP="008A78EA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bdr w:val="none" w:sz="0" w:space="0" w:color="auto" w:frame="1"/>
                <w:shd w:val="clear" w:color="auto" w:fill="FFFFFF"/>
              </w:rPr>
              <w:instrText xml:space="preserve"> HYPERLINK "mailto:   aquatim@aquatim.ro</w:instrText>
            </w:r>
          </w:p>
          <w:p w14:paraId="2DDB24F1" w14:textId="77777777" w:rsidR="00135254" w:rsidRPr="00F27BA9" w:rsidRDefault="00135254" w:rsidP="008A78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FF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bdr w:val="none" w:sz="0" w:space="0" w:color="auto" w:frame="1"/>
                <w:shd w:val="clear" w:color="auto" w:fill="FFFFFF"/>
              </w:rPr>
              <w:instrText xml:space="preserve">" </w:instrText>
            </w:r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bdr w:val="none" w:sz="0" w:space="0" w:color="auto" w:frame="1"/>
                <w:shd w:val="clear" w:color="auto" w:fill="FFFFFF"/>
              </w:rPr>
            </w:r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F27BA9">
              <w:rPr>
                <w:rFonts w:asciiTheme="majorBidi" w:eastAsia="Times New Roman" w:hAnsiTheme="majorBidi" w:cstheme="majorBidi"/>
                <w:color w:val="0000FF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r w:rsidRPr="00F27BA9">
              <w:rPr>
                <w:rFonts w:asciiTheme="majorBidi" w:eastAsia="Times New Roman" w:hAnsiTheme="majorBidi" w:cstheme="majorBidi"/>
                <w:color w:val="0000FF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aquatim@aquatim.ro</w:t>
            </w:r>
          </w:p>
          <w:p w14:paraId="4B2507A5" w14:textId="77777777" w:rsidR="00135254" w:rsidRPr="00F27BA9" w:rsidRDefault="00135254" w:rsidP="008A78EA">
            <w:pPr>
              <w:widowControl w:val="0"/>
              <w:spacing w:after="0" w:line="240" w:lineRule="exact"/>
              <w:ind w:left="2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  <w:tr w:rsidR="00135254" w:rsidRPr="00F27BA9" w14:paraId="143DC6E4" w14:textId="77777777" w:rsidTr="008A78EA">
        <w:trPr>
          <w:trHeight w:hRule="exact" w:val="649"/>
        </w:trPr>
        <w:tc>
          <w:tcPr>
            <w:tcW w:w="4680" w:type="dxa"/>
            <w:shd w:val="clear" w:color="auto" w:fill="FFFFFF"/>
            <w:vAlign w:val="center"/>
          </w:tcPr>
          <w:p w14:paraId="192EA3DC" w14:textId="77777777" w:rsidR="00135254" w:rsidRPr="00F27BA9" w:rsidRDefault="00135254" w:rsidP="008A78EA">
            <w:pPr>
              <w:widowControl w:val="0"/>
              <w:spacing w:after="0" w:line="240" w:lineRule="exac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Cod unic de înregistrare: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D50EA6B" w14:textId="77777777" w:rsidR="00135254" w:rsidRPr="00F27BA9" w:rsidRDefault="00135254" w:rsidP="008A78EA">
            <w:pPr>
              <w:widowControl w:val="0"/>
              <w:spacing w:after="0" w:line="260" w:lineRule="exact"/>
              <w:ind w:left="2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RO</w:t>
            </w:r>
            <w:r w:rsidRPr="00F27BA9">
              <w:rPr>
                <w:rFonts w:asciiTheme="majorBidi" w:eastAsia="Times New Roman" w:hAnsiTheme="majorBidi" w:cstheme="majorBidi"/>
                <w:sz w:val="28"/>
                <w:szCs w:val="28"/>
              </w:rPr>
              <w:t>3041480</w:t>
            </w:r>
          </w:p>
        </w:tc>
      </w:tr>
      <w:tr w:rsidR="00135254" w:rsidRPr="00F27BA9" w14:paraId="7F6E3273" w14:textId="77777777" w:rsidTr="008A78EA">
        <w:trPr>
          <w:trHeight w:hRule="exact" w:val="820"/>
        </w:trPr>
        <w:tc>
          <w:tcPr>
            <w:tcW w:w="4680" w:type="dxa"/>
            <w:shd w:val="clear" w:color="auto" w:fill="FFFFFF"/>
          </w:tcPr>
          <w:p w14:paraId="2103DF43" w14:textId="77777777" w:rsidR="00135254" w:rsidRPr="00F27BA9" w:rsidRDefault="00135254" w:rsidP="008A78EA">
            <w:pPr>
              <w:widowControl w:val="0"/>
              <w:spacing w:after="0" w:line="326" w:lineRule="exact"/>
              <w:rPr>
                <w:rFonts w:asciiTheme="majorBidi" w:eastAsia="Times New Roman" w:hAnsiTheme="majorBidi" w:cstheme="majorBidi"/>
                <w:sz w:val="28"/>
                <w:szCs w:val="28"/>
                <w:lang w:val="it-IT"/>
              </w:rPr>
            </w:pPr>
            <w:r w:rsidRPr="00F27BA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lang w:val="ro-RO" w:eastAsia="ro-RO" w:bidi="ro-RO"/>
              </w:rPr>
              <w:t>Număr înregistrare Oficiul Registrului Comerțului: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2C98DD4A" w14:textId="77777777" w:rsidR="00135254" w:rsidRPr="00F27BA9" w:rsidRDefault="00135254" w:rsidP="008A78EA">
            <w:pPr>
              <w:widowControl w:val="0"/>
              <w:spacing w:after="0" w:line="260" w:lineRule="exact"/>
              <w:ind w:left="2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27BA9">
              <w:rPr>
                <w:rFonts w:asciiTheme="majorBidi" w:eastAsia="Times New Roman" w:hAnsiTheme="majorBidi" w:cstheme="majorBidi"/>
                <w:sz w:val="28"/>
                <w:szCs w:val="28"/>
                <w:shd w:val="clear" w:color="auto" w:fill="FFFFFF"/>
              </w:rPr>
              <w:t>J35/4096/1992 </w:t>
            </w:r>
          </w:p>
        </w:tc>
      </w:tr>
    </w:tbl>
    <w:p w14:paraId="6526CCA0" w14:textId="77777777" w:rsidR="00135254" w:rsidRDefault="00135254" w:rsidP="00C134C1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6B3DD56" w14:textId="77777777" w:rsidR="00135254" w:rsidRDefault="00135254" w:rsidP="00C134C1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BE41770" w14:textId="77777777" w:rsidR="00135254" w:rsidRDefault="00135254" w:rsidP="00C134C1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CB2B72" w14:textId="77777777" w:rsidR="00135254" w:rsidRDefault="00135254" w:rsidP="00C134C1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2AB0BA2" w14:textId="77777777" w:rsidR="00135254" w:rsidRDefault="00135254" w:rsidP="00C134C1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1B8D9DC" w14:textId="77777777" w:rsidR="00135254" w:rsidRDefault="00135254" w:rsidP="00C134C1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0C0310D" w14:textId="65762D68" w:rsidR="005337C6" w:rsidRPr="007761D5" w:rsidRDefault="00CF32E3" w:rsidP="00C134C1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1.</w:t>
      </w:r>
      <w:r w:rsidR="003371A3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2A556C" w:rsidRPr="007761D5">
        <w:rPr>
          <w:rFonts w:ascii="Times New Roman" w:hAnsi="Times New Roman" w:cs="Times New Roman"/>
          <w:b/>
          <w:sz w:val="28"/>
          <w:szCs w:val="28"/>
          <w:lang w:val="ro-RO"/>
        </w:rPr>
        <w:t>Prezentare generală.</w:t>
      </w:r>
    </w:p>
    <w:p w14:paraId="48269DAF" w14:textId="77777777" w:rsidR="00222F2D" w:rsidRPr="007761D5" w:rsidRDefault="00222F2D" w:rsidP="00C134C1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C7C13E0" w14:textId="2B92256E" w:rsidR="002A556C" w:rsidRPr="007761D5" w:rsidRDefault="002A556C" w:rsidP="00C134C1">
      <w:pPr>
        <w:pStyle w:val="Listparagraf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Scurtă prezentare a </w:t>
      </w:r>
      <w:proofErr w:type="spellStart"/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>societăţii</w:t>
      </w:r>
      <w:proofErr w:type="spellEnd"/>
      <w:r w:rsidR="001247D5" w:rsidRPr="007761D5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14:paraId="66AA941C" w14:textId="77777777" w:rsidR="001247D5" w:rsidRPr="007761D5" w:rsidRDefault="001247D5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</w:pP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Aquatim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fost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înfiinţat</w:t>
      </w:r>
      <w:bookmarkStart w:id="0" w:name="_Hlk131425713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ă</w:t>
      </w:r>
      <w:bookmarkEnd w:id="0"/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ca regie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autonomă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la 1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martie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1991,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preluând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responsabilităţile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structurilor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administrative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locale care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gestionau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serviciile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apă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canalizare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.</w:t>
      </w:r>
      <w:r w:rsidRPr="007761D5">
        <w:rPr>
          <w:rFonts w:asciiTheme="majorBidi" w:hAnsiTheme="majorBidi" w:cstheme="majorBidi"/>
          <w:sz w:val="28"/>
          <w:szCs w:val="28"/>
          <w:lang w:val="it-IT"/>
        </w:rPr>
        <w:t> 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anul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2007, 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statutul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organizației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se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schimbă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din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regie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societate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comercială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iar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serviciile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sunt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extinse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Deta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Jimbolia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.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Compania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devine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operator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regional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pe aria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județului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Timiș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2010.</w:t>
      </w:r>
    </w:p>
    <w:p w14:paraId="47E0BA50" w14:textId="77777777" w:rsidR="00153F2D" w:rsidRPr="007761D5" w:rsidRDefault="00153F2D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</w:p>
    <w:p w14:paraId="3900DF86" w14:textId="77777777" w:rsidR="001247D5" w:rsidRPr="007761D5" w:rsidRDefault="001247D5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</w:pPr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Istoria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sistemelor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moderne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apă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canalizare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din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Timișoara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stă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sub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semnul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inovației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sustenabilității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. Prima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staţie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tratare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apei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uzate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de pe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teritoriul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României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fost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pusă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funcţiune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la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Timişoara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26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octombrie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1912,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iar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prima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uzină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apă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oraşului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la 1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iunie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1914. Tot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1914 s-a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înfiinţat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ACOT,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Întreprinderea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apă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-canal 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oraşului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Timişoara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prima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formă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organizare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serviciilor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publice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din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ţară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. O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personalitate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remarcabilă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vremii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inginerul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Stan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Vidrighin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fost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unul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dintre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vizionarii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care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au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adus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Timișoara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rândul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orașelor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moderne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ale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Europei la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începutul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secolului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XX.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paginile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volumului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editat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Aquatim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, </w:t>
      </w:r>
      <w:proofErr w:type="spellStart"/>
      <w:r w:rsidRPr="007761D5">
        <w:fldChar w:fldCharType="begin"/>
      </w:r>
      <w:r w:rsidRPr="007761D5">
        <w:rPr>
          <w:sz w:val="28"/>
          <w:szCs w:val="28"/>
          <w:lang w:val="it-IT"/>
        </w:rPr>
        <w:instrText>HYPERLINK "https://www.aquatim.ro/media/1041/alimentarea-cu-apa-a-timisoarei.pdf" \t "_blank" \o "Alimentarea cu apă a Timișoarei - Istorie, prezent și perspective"</w:instrText>
      </w:r>
      <w:r w:rsidRPr="007761D5">
        <w:fldChar w:fldCharType="separate"/>
      </w:r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>Alimentarea</w:t>
      </w:r>
      <w:proofErr w:type="spellEnd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 xml:space="preserve"> cu </w:t>
      </w:r>
      <w:proofErr w:type="spellStart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>apă</w:t>
      </w:r>
      <w:proofErr w:type="spellEnd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 xml:space="preserve"> a </w:t>
      </w:r>
      <w:proofErr w:type="spellStart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>Timișoarei</w:t>
      </w:r>
      <w:proofErr w:type="spellEnd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 xml:space="preserve">. Istorie, </w:t>
      </w:r>
      <w:proofErr w:type="spellStart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>prezent</w:t>
      </w:r>
      <w:proofErr w:type="spellEnd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>și</w:t>
      </w:r>
      <w:proofErr w:type="spellEnd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t>perspective</w:t>
      </w:r>
      <w:proofErr w:type="spellEnd"/>
      <w:r w:rsidRPr="007761D5">
        <w:rPr>
          <w:rStyle w:val="aq-blue"/>
          <w:rFonts w:asciiTheme="majorBidi" w:hAnsiTheme="majorBidi" w:cstheme="majorBidi"/>
          <w:b/>
          <w:bCs/>
          <w:sz w:val="28"/>
          <w:szCs w:val="28"/>
          <w:u w:val="single"/>
          <w:bdr w:val="none" w:sz="0" w:space="0" w:color="auto" w:frame="1"/>
          <w:lang w:val="it-IT"/>
        </w:rPr>
        <w:fldChar w:fldCharType="end"/>
      </w:r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 se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găsesc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mai multe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informații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detaliate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despre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apa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viața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„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cetății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”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cum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dus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mai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departe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Aquatim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moștenirea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lăsată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de Stan </w:t>
      </w:r>
      <w:proofErr w:type="spellStart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Vidrighin</w:t>
      </w:r>
      <w:proofErr w:type="spellEnd"/>
      <w:r w:rsidRPr="007761D5">
        <w:rPr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.</w:t>
      </w:r>
    </w:p>
    <w:p w14:paraId="437DA36A" w14:textId="77777777" w:rsidR="00153F2D" w:rsidRPr="007761D5" w:rsidRDefault="00153F2D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</w:p>
    <w:p w14:paraId="718BD9FD" w14:textId="77777777" w:rsidR="001247D5" w:rsidRPr="007761D5" w:rsidRDefault="001247D5" w:rsidP="00C134C1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  <w:lang w:val="it-IT"/>
        </w:rPr>
      </w:pP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Din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punct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vedere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juridic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Aquatim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este o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societate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pe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acţiuni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ai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cărei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acţionari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sunt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exclusiv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unităţi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administrativ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teritoriale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: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municipiul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Timişoara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judeţul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Timiş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oraşele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Jimbolia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Deta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Sânnicolau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Mare,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Buziaş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comuna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Ghiroda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>. </w:t>
      </w:r>
    </w:p>
    <w:p w14:paraId="1D36B599" w14:textId="77777777" w:rsidR="001247D5" w:rsidRPr="007761D5" w:rsidRDefault="001247D5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Aquatim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-a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asumat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misiunea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asigura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servicii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înaltă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calitate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clienților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consumatorilor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> 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săi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fără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prejudicia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resursele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naturale limitate,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mediul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înconjurător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securitatea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sănătatea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> 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partenerilor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săi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interes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>.</w:t>
      </w:r>
    </w:p>
    <w:p w14:paraId="15C19FBF" w14:textId="77777777" w:rsidR="00153F2D" w:rsidRPr="007761D5" w:rsidRDefault="00153F2D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</w:p>
    <w:p w14:paraId="56E17DA1" w14:textId="77777777" w:rsidR="001247D5" w:rsidRPr="007761D5" w:rsidRDefault="001247D5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Vrem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contribuim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la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bunăstarea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comunităţilor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pe care le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deservim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prin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asigurarea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serviciilor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utilitate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publică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bună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calitate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la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preţuri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accesibile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.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Din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acest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punct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vedere, ne-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propus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fim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un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factor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stabilitate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pentru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clienţii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existenţi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același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timp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unul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progres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prin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extinderea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serviciilor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aria de operare.</w:t>
      </w:r>
    </w:p>
    <w:p w14:paraId="45917C44" w14:textId="77777777" w:rsidR="00153F2D" w:rsidRPr="007761D5" w:rsidRDefault="00153F2D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</w:p>
    <w:p w14:paraId="239D7B88" w14:textId="77777777" w:rsidR="001247D5" w:rsidRPr="007761D5" w:rsidRDefault="001247D5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Urmărim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ne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menţinem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statutul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companie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performantă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prosperă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stabilă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top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domeniu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ne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continuăm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dezvoltarea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pe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aceeași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linie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printr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-un management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modern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prin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îmbunătăţirea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continuă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activităţii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promovarea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responsabilităţii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instituţionale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încurajarea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egală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dezvoltării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profesionale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angajaţiilor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noştri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>.</w:t>
      </w:r>
    </w:p>
    <w:p w14:paraId="689D715B" w14:textId="77777777" w:rsidR="00153F2D" w:rsidRPr="007761D5" w:rsidRDefault="00153F2D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</w:p>
    <w:p w14:paraId="6B98D56A" w14:textId="730DA60E" w:rsidR="001247D5" w:rsidRPr="007761D5" w:rsidRDefault="001247D5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Promovăm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respectul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reciproc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tratamentul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egal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al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clienţilor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noştri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prin comunicare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eficace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coerentă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transparentă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cu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toţi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factorii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relevanţi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.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Urmărim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îmbunătăţirea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calității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relaţiilor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cu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clienţii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prin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diversificarea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mijloacelor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de comunicare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pregătirea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continuă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angajaţilor</w:t>
      </w:r>
      <w:proofErr w:type="spellEnd"/>
      <w:r w:rsidR="00153F2D" w:rsidRPr="007761D5">
        <w:rPr>
          <w:rFonts w:asciiTheme="majorBidi" w:hAnsiTheme="majorBidi" w:cstheme="majorBidi"/>
          <w:sz w:val="28"/>
          <w:szCs w:val="28"/>
          <w:lang w:val="it-IT"/>
        </w:rPr>
        <w:t>.</w:t>
      </w:r>
    </w:p>
    <w:p w14:paraId="16B04FA3" w14:textId="77777777" w:rsidR="00153F2D" w:rsidRPr="007761D5" w:rsidRDefault="00153F2D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</w:p>
    <w:p w14:paraId="61402882" w14:textId="77777777" w:rsidR="001247D5" w:rsidRPr="007761D5" w:rsidRDefault="001247D5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lastRenderedPageBreak/>
        <w:t>Respectăm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moştenirea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resursele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naturale,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respectiv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apa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care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joacă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un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rol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esențial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activitatea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noastră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prin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promovarea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unor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politici de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protecţie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şi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conservare a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mediului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rândul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angajaţilor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clienţilor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comunității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>.</w:t>
      </w:r>
    </w:p>
    <w:p w14:paraId="6624FEF8" w14:textId="77777777" w:rsidR="00153F2D" w:rsidRPr="007761D5" w:rsidRDefault="00153F2D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</w:p>
    <w:p w14:paraId="5C6226F7" w14:textId="08DBEB2D" w:rsidR="002A34E2" w:rsidRPr="007761D5" w:rsidRDefault="001247D5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Obiectivele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și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angajamentele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asumate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sunt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prezentate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detaliat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spellStart"/>
      <w:r w:rsidRPr="007761D5">
        <w:rPr>
          <w:rFonts w:asciiTheme="majorBidi" w:hAnsiTheme="majorBidi" w:cstheme="majorBidi"/>
          <w:sz w:val="28"/>
          <w:szCs w:val="28"/>
          <w:lang w:val="it-IT"/>
        </w:rPr>
        <w:t>în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> </w:t>
      </w:r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Politica de </w:t>
      </w:r>
      <w:proofErr w:type="spellStart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calitate</w:t>
      </w:r>
      <w:proofErr w:type="spellEnd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</w:t>
      </w:r>
      <w:proofErr w:type="spellStart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mediu</w:t>
      </w:r>
      <w:proofErr w:type="spellEnd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, </w:t>
      </w:r>
      <w:proofErr w:type="spellStart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sănătate</w:t>
      </w:r>
      <w:proofErr w:type="spellEnd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şi</w:t>
      </w:r>
      <w:proofErr w:type="spellEnd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securitate</w:t>
      </w:r>
      <w:proofErr w:type="spellEnd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în</w:t>
      </w:r>
      <w:proofErr w:type="spellEnd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 xml:space="preserve"> </w:t>
      </w:r>
      <w:proofErr w:type="spellStart"/>
      <w:r w:rsidRPr="007761D5">
        <w:rPr>
          <w:rStyle w:val="Accentuat"/>
          <w:rFonts w:asciiTheme="majorBidi" w:hAnsiTheme="majorBidi" w:cstheme="majorBidi"/>
          <w:sz w:val="28"/>
          <w:szCs w:val="28"/>
          <w:bdr w:val="none" w:sz="0" w:space="0" w:color="auto" w:frame="1"/>
          <w:lang w:val="it-IT"/>
        </w:rPr>
        <w:t>muncă</w:t>
      </w:r>
      <w:proofErr w:type="spellEnd"/>
      <w:r w:rsidRPr="007761D5">
        <w:rPr>
          <w:rFonts w:asciiTheme="majorBidi" w:hAnsiTheme="majorBidi" w:cstheme="majorBidi"/>
          <w:sz w:val="28"/>
          <w:szCs w:val="28"/>
          <w:lang w:val="it-IT"/>
        </w:rPr>
        <w:t>. </w:t>
      </w:r>
    </w:p>
    <w:p w14:paraId="7863F4E2" w14:textId="77777777" w:rsidR="001247D5" w:rsidRPr="007761D5" w:rsidRDefault="001247D5" w:rsidP="00C134C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Theme="majorBidi" w:hAnsiTheme="majorBidi" w:cstheme="majorBidi"/>
          <w:sz w:val="28"/>
          <w:szCs w:val="28"/>
          <w:lang w:val="it-IT"/>
        </w:rPr>
      </w:pPr>
    </w:p>
    <w:p w14:paraId="3C7DC39F" w14:textId="052B158C" w:rsidR="002A556C" w:rsidRPr="007761D5" w:rsidRDefault="002A556C" w:rsidP="00C134C1">
      <w:pPr>
        <w:pStyle w:val="Listparagraf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>Cadru</w:t>
      </w:r>
      <w:r w:rsidR="00B34535" w:rsidRPr="007761D5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>instituţional</w:t>
      </w:r>
      <w:proofErr w:type="spellEnd"/>
      <w:r w:rsidR="003371A3" w:rsidRPr="007761D5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14:paraId="3FC68833" w14:textId="77777777" w:rsidR="00FA03CB" w:rsidRPr="007761D5" w:rsidRDefault="00FA03CB" w:rsidP="00C134C1">
      <w:pPr>
        <w:pStyle w:val="Listparagraf"/>
        <w:spacing w:after="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14:paraId="3E63D369" w14:textId="3ED7094C" w:rsidR="002A556C" w:rsidRPr="007761D5" w:rsidRDefault="005104FD" w:rsidP="00C134C1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="00407817"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ab/>
      </w:r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Prezentul Raport Anual a fost elaborat de către Comitetul de </w:t>
      </w:r>
      <w:r w:rsidR="003B789C" w:rsidRPr="007761D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ominalizare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789C" w:rsidRPr="007761D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emunerare din cadrul Consiliului de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Administraţie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 AQUATIM S.A., în conformitate cu reglementările art.55</w:t>
      </w:r>
      <w:r w:rsidR="00180A1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alin.2</w:t>
      </w:r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din OUG nr.109/2011 </w:t>
      </w:r>
      <w:r w:rsidR="00CD6DF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privind guvernanța </w:t>
      </w:r>
      <w:proofErr w:type="spellStart"/>
      <w:r w:rsidR="00CD6DF9" w:rsidRPr="007761D5">
        <w:rPr>
          <w:rFonts w:ascii="Times New Roman" w:hAnsi="Times New Roman" w:cs="Times New Roman"/>
          <w:sz w:val="28"/>
          <w:szCs w:val="28"/>
          <w:lang w:val="ro-RO"/>
        </w:rPr>
        <w:t>coporativă</w:t>
      </w:r>
      <w:proofErr w:type="spellEnd"/>
      <w:r w:rsidR="00CD6DF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 întreprinderilor publice, aprobată, cu modificările și completările ulterioare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priveşte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remuneraţiile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alte avantaje acordate administratorilor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dire</w:t>
      </w:r>
      <w:r w:rsidR="009E6FFF" w:rsidRPr="007761D5">
        <w:rPr>
          <w:rFonts w:ascii="Times New Roman" w:hAnsi="Times New Roman" w:cs="Times New Roman"/>
          <w:sz w:val="28"/>
          <w:szCs w:val="28"/>
          <w:lang w:val="ro-RO"/>
        </w:rPr>
        <w:t>ctorilor, în cursul anului 202</w:t>
      </w:r>
      <w:r w:rsidR="001D75F4" w:rsidRPr="007761D5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9E6FF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. Raportul Anual </w:t>
      </w:r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va fi prezentat Adunării Generale a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Acţionarilor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va fi pus la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dispoziţia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acţionarilor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potrivit </w:t>
      </w:r>
      <w:r w:rsidR="003B789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dispozițiilor cuprinse în </w:t>
      </w:r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180A1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39 </w:t>
      </w:r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alin.1.</w:t>
      </w:r>
    </w:p>
    <w:p w14:paraId="6E72EBF1" w14:textId="77777777" w:rsidR="00153F2D" w:rsidRPr="007761D5" w:rsidRDefault="00153F2D" w:rsidP="00C134C1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B2368B" w14:textId="62726637" w:rsidR="002A556C" w:rsidRPr="007761D5" w:rsidRDefault="00180A17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Conform art.55 alin. 3 din OUG nr.109/2011, Raportul Anual cuprinde în principal </w:t>
      </w:r>
      <w:proofErr w:type="spellStart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>informaţii</w:t>
      </w:r>
      <w:proofErr w:type="spellEnd"/>
      <w:r w:rsidR="002A556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privind:</w:t>
      </w:r>
    </w:p>
    <w:p w14:paraId="276573C3" w14:textId="77777777" w:rsidR="00153F2D" w:rsidRPr="007761D5" w:rsidRDefault="00153F2D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9845B90" w14:textId="5F5FC681" w:rsidR="00153F2D" w:rsidRPr="00DB69CF" w:rsidRDefault="002A556C" w:rsidP="00C134C1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Structura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remuneraţiei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>, c</w:t>
      </w:r>
      <w:r w:rsidR="00EE5CD3" w:rsidRPr="007761D5">
        <w:rPr>
          <w:rFonts w:ascii="Times New Roman" w:hAnsi="Times New Roman" w:cs="Times New Roman"/>
          <w:sz w:val="28"/>
          <w:szCs w:val="28"/>
          <w:lang w:val="ro-RO"/>
        </w:rPr>
        <w:t>u explicarea ponderii componen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tei varia</w:t>
      </w:r>
      <w:r w:rsidR="003A7407" w:rsidRPr="007761D5">
        <w:rPr>
          <w:rFonts w:ascii="Times New Roman" w:hAnsi="Times New Roman" w:cs="Times New Roman"/>
          <w:sz w:val="28"/>
          <w:szCs w:val="28"/>
          <w:lang w:val="ro-RO"/>
        </w:rPr>
        <w:t>bi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le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componentei fixe;</w:t>
      </w:r>
    </w:p>
    <w:p w14:paraId="468114AC" w14:textId="3C56E415" w:rsidR="00153F2D" w:rsidRPr="00DB69CF" w:rsidRDefault="003A2C57" w:rsidP="00C134C1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Criteriile de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performanţă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ce fundamentează componenta variabilă a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remuneraţiei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, raportul dintre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performanţa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realizată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remuneraţie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9279D37" w14:textId="5EA6A800" w:rsidR="00153F2D" w:rsidRPr="00DB69CF" w:rsidRDefault="003A2C57" w:rsidP="00C134C1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Considerentele ce justifică orice schemă de bonusuri anuale sau alte avantaje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nebăneşti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0DACC45" w14:textId="77777777" w:rsidR="00DB69CF" w:rsidRDefault="003A2C57" w:rsidP="00C134C1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Eventualele scheme de pensii suplimentare sau anticipate;</w:t>
      </w:r>
    </w:p>
    <w:p w14:paraId="6215006C" w14:textId="159B460B" w:rsidR="00FA03CB" w:rsidRPr="00DB69CF" w:rsidRDefault="003A2C57" w:rsidP="00C134C1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DB69CF">
        <w:rPr>
          <w:rFonts w:ascii="Times New Roman" w:hAnsi="Times New Roman" w:cs="Times New Roman"/>
          <w:sz w:val="28"/>
          <w:szCs w:val="28"/>
          <w:lang w:val="ro-RO"/>
        </w:rPr>
        <w:t>Informaţii</w:t>
      </w:r>
      <w:proofErr w:type="spellEnd"/>
      <w:r w:rsidRPr="00DB69CF">
        <w:rPr>
          <w:rFonts w:ascii="Times New Roman" w:hAnsi="Times New Roman" w:cs="Times New Roman"/>
          <w:sz w:val="28"/>
          <w:szCs w:val="28"/>
          <w:lang w:val="ro-RO"/>
        </w:rPr>
        <w:t xml:space="preserve"> privind durata contractului, perioada de preaviz negociată, cuantumul daunelor-interese pentru revocarea fără justă cauză.</w:t>
      </w:r>
    </w:p>
    <w:p w14:paraId="5ABE0F71" w14:textId="6C9B4F75" w:rsidR="00FA03CB" w:rsidRPr="007761D5" w:rsidRDefault="00FA03CB" w:rsidP="00C134C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ab/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Raportul anual are la bază Planul de Administrare al AQUATIM S.A. pe perioada 20</w:t>
      </w:r>
      <w:r w:rsidR="00C407D6" w:rsidRPr="007761D5">
        <w:rPr>
          <w:rFonts w:ascii="Times New Roman" w:hAnsi="Times New Roman" w:cs="Times New Roman"/>
          <w:sz w:val="28"/>
          <w:szCs w:val="28"/>
          <w:lang w:val="ro-RO"/>
        </w:rPr>
        <w:t>23-2027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CB36F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care include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Componenta de Administrare </w:t>
      </w:r>
      <w:r w:rsidR="00F87F88" w:rsidRPr="007761D5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 Componenta de Management</w:t>
      </w:r>
      <w:r w:rsidR="00E344CB" w:rsidRPr="007761D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B36F7" w:rsidRPr="007761D5">
        <w:rPr>
          <w:rFonts w:ascii="Times New Roman" w:hAnsi="Times New Roman" w:cs="Times New Roman"/>
          <w:sz w:val="28"/>
          <w:szCs w:val="28"/>
          <w:lang w:val="ro-RO"/>
        </w:rPr>
        <w:t>aprobat în integralitate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prin Decizia</w:t>
      </w:r>
      <w:r w:rsidR="009E6FF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Consiliului de Administrație nr.</w:t>
      </w:r>
      <w:r w:rsidR="00CB36F7" w:rsidRPr="007761D5">
        <w:rPr>
          <w:rFonts w:ascii="Times New Roman" w:hAnsi="Times New Roman" w:cs="Times New Roman"/>
          <w:sz w:val="28"/>
          <w:szCs w:val="28"/>
          <w:lang w:val="ro-RO"/>
        </w:rPr>
        <w:t>23/26.06.2023.</w:t>
      </w:r>
    </w:p>
    <w:p w14:paraId="234ADC80" w14:textId="379F12A7" w:rsidR="006F58D7" w:rsidRPr="007761D5" w:rsidRDefault="00AB2DAF" w:rsidP="00C134C1">
      <w:pPr>
        <w:spacing w:after="0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ab/>
        <w:t xml:space="preserve">Consiliul de </w:t>
      </w:r>
      <w:proofErr w:type="spellStart"/>
      <w:r w:rsidR="003B789C" w:rsidRPr="007761D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dministratie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 AQUATIM S.A. s-a constituit în această structura, </w:t>
      </w:r>
      <w:r w:rsidR="00C407D6" w:rsidRPr="007761D5">
        <w:rPr>
          <w:rFonts w:ascii="Times New Roman" w:hAnsi="Times New Roman" w:cs="Times New Roman"/>
          <w:sz w:val="28"/>
          <w:szCs w:val="28"/>
          <w:lang w:val="ro-RO"/>
        </w:rPr>
        <w:t>prin Hotărârea nr. 1/20.01.2023, a Adunării Generale a Acționarilor AQUATIM S.A.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, cu respectarea principiilor OUG nr.109/2011 privind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guvernanţa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corporativă, în baza unei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selecţii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prealabile efectuate de o comisie formată din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specialişti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independenţi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în recrutarea resurselor umane, organizat</w:t>
      </w:r>
      <w:r w:rsidR="003B789C" w:rsidRPr="007761D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autoritatea publică tutelară Asociația de Dezvoltare Intercomunitară Apă-Canal Timiș</w:t>
      </w:r>
      <w:r w:rsidR="003B789C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9F9E236" w14:textId="3031DAE3" w:rsidR="00AB2DAF" w:rsidRPr="007761D5" w:rsidRDefault="00DC50AF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Prin Hotărârea nr.</w:t>
      </w:r>
      <w:r w:rsidR="00C407D6" w:rsidRPr="007761D5">
        <w:rPr>
          <w:rFonts w:ascii="Times New Roman" w:hAnsi="Times New Roman" w:cs="Times New Roman"/>
          <w:sz w:val="28"/>
          <w:szCs w:val="28"/>
          <w:lang w:val="ro-RO"/>
        </w:rPr>
        <w:t>1/20.01.2023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B2DA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Adunarea Generală a Acționarilor a AQUATIM S.A.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 numit prin vot secret componen</w:t>
      </w:r>
      <w:r w:rsidR="003B789C" w:rsidRPr="007761D5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a Consiliului de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Administratie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 AQUATIM S.A.</w:t>
      </w:r>
    </w:p>
    <w:p w14:paraId="274413BB" w14:textId="364F493B" w:rsidR="00153F2D" w:rsidRPr="007761D5" w:rsidRDefault="00AB2DAF" w:rsidP="00C134C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    </w:t>
      </w:r>
      <w:r w:rsidR="00DC50AF"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   </w:t>
      </w:r>
      <w:r w:rsidR="006A5096"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="006A5096" w:rsidRPr="007761D5">
        <w:rPr>
          <w:rFonts w:ascii="Times New Roman" w:hAnsi="Times New Roman" w:cs="Times New Roman"/>
          <w:sz w:val="28"/>
          <w:szCs w:val="28"/>
          <w:lang w:val="ro-RO"/>
        </w:rPr>
        <w:t>Componența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Consiliului de Administrație </w:t>
      </w:r>
      <w:r w:rsidR="006A5096" w:rsidRPr="007761D5">
        <w:rPr>
          <w:rFonts w:ascii="Times New Roman" w:hAnsi="Times New Roman" w:cs="Times New Roman"/>
          <w:sz w:val="28"/>
          <w:szCs w:val="28"/>
          <w:lang w:val="ro-RO"/>
        </w:rPr>
        <w:t>al AQUATIM S.A.</w:t>
      </w:r>
      <w:r w:rsidR="00180A1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este următoarea:</w:t>
      </w:r>
    </w:p>
    <w:p w14:paraId="75D286A4" w14:textId="2938DD8D" w:rsidR="00AB2DAF" w:rsidRPr="007761D5" w:rsidRDefault="00871B30" w:rsidP="00C134C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ȘIPOȘ SORIN GHEORGHE</w:t>
      </w:r>
      <w:r w:rsidR="00AB2DAF" w:rsidRPr="007761D5">
        <w:rPr>
          <w:rFonts w:ascii="Times New Roman" w:hAnsi="Times New Roman" w:cs="Times New Roman"/>
          <w:sz w:val="28"/>
          <w:szCs w:val="28"/>
          <w:lang w:val="ro-RO"/>
        </w:rPr>
        <w:t>-președinte</w:t>
      </w:r>
    </w:p>
    <w:p w14:paraId="2884283B" w14:textId="77777777" w:rsidR="00AB2DAF" w:rsidRPr="007761D5" w:rsidRDefault="00DC50AF" w:rsidP="00C134C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VLAICU ILIE- administrator</w:t>
      </w:r>
      <w:r w:rsidR="00AB2DA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executiv</w:t>
      </w:r>
    </w:p>
    <w:p w14:paraId="71083393" w14:textId="77777777" w:rsidR="00AB2DAF" w:rsidRPr="007761D5" w:rsidRDefault="00DC50AF" w:rsidP="00C134C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CANEA IANCU-administrator</w:t>
      </w:r>
      <w:r w:rsidR="00AB2DA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neexecutiv</w:t>
      </w:r>
    </w:p>
    <w:p w14:paraId="62AF8DEE" w14:textId="57C6AC75" w:rsidR="00AB2DAF" w:rsidRPr="007761D5" w:rsidRDefault="00871B30" w:rsidP="00C134C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POPESCU CARMEN NICOLETA </w:t>
      </w:r>
      <w:r w:rsidR="00DC50AF" w:rsidRPr="007761D5">
        <w:rPr>
          <w:rFonts w:ascii="Times New Roman" w:hAnsi="Times New Roman" w:cs="Times New Roman"/>
          <w:sz w:val="28"/>
          <w:szCs w:val="28"/>
          <w:lang w:val="ro-RO"/>
        </w:rPr>
        <w:t>-administrator</w:t>
      </w:r>
      <w:r w:rsidR="00AB2DA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neexecutiv</w:t>
      </w:r>
    </w:p>
    <w:p w14:paraId="03E4C34C" w14:textId="77777777" w:rsidR="00AB2DAF" w:rsidRPr="007761D5" w:rsidRDefault="00DC50AF" w:rsidP="00C134C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NOVAC AURELIAN REMUS-administrator</w:t>
      </w:r>
      <w:r w:rsidR="00AB2DA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neexecutiv</w:t>
      </w:r>
    </w:p>
    <w:p w14:paraId="7A24FA4C" w14:textId="77777777" w:rsidR="00AB2DAF" w:rsidRPr="007761D5" w:rsidRDefault="00DC50AF" w:rsidP="00C134C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ZORILĂ ANDREI MIRCEA-administrator</w:t>
      </w:r>
      <w:r w:rsidR="00AB2DA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neexecutiv</w:t>
      </w:r>
    </w:p>
    <w:p w14:paraId="77A31E95" w14:textId="50DB1E5D" w:rsidR="00AB2DAF" w:rsidRPr="007761D5" w:rsidRDefault="00871B30" w:rsidP="00C134C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DUMITREL GABRIELA ALINA</w:t>
      </w:r>
      <w:r w:rsidR="00DC50AF" w:rsidRPr="007761D5">
        <w:rPr>
          <w:rFonts w:ascii="Times New Roman" w:hAnsi="Times New Roman" w:cs="Times New Roman"/>
          <w:sz w:val="28"/>
          <w:szCs w:val="28"/>
          <w:lang w:val="ro-RO"/>
        </w:rPr>
        <w:t>-administrator</w:t>
      </w:r>
      <w:r w:rsidR="00AB2DA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neexecutiv</w:t>
      </w:r>
    </w:p>
    <w:p w14:paraId="47D92666" w14:textId="77777777" w:rsidR="00AB2DAF" w:rsidRPr="007761D5" w:rsidRDefault="00DC50AF" w:rsidP="00C134C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TIUCH CĂTĂLIN-administrator</w:t>
      </w:r>
      <w:r w:rsidR="00AB2DA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neexecutiv</w:t>
      </w:r>
    </w:p>
    <w:p w14:paraId="70A30306" w14:textId="77777777" w:rsidR="00DC50AF" w:rsidRDefault="00AB2DAF" w:rsidP="00C134C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DC50AF" w:rsidRPr="007761D5">
        <w:rPr>
          <w:rFonts w:ascii="Times New Roman" w:hAnsi="Times New Roman" w:cs="Times New Roman"/>
          <w:sz w:val="28"/>
          <w:szCs w:val="28"/>
          <w:lang w:val="ro-RO"/>
        </w:rPr>
        <w:t>TEFEA PETRU MARIN-administrator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neexecutiv.</w:t>
      </w:r>
    </w:p>
    <w:p w14:paraId="7E844DC9" w14:textId="77777777" w:rsidR="00C134C1" w:rsidRPr="007761D5" w:rsidRDefault="00C134C1" w:rsidP="00C134C1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B7F391" w14:textId="77379327" w:rsidR="00AB2DAF" w:rsidRPr="007761D5" w:rsidRDefault="00DC50AF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Contractele de mandat/ de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administraţie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au fost încheiate pe o perioadă de 4 ani, începând cu data de </w:t>
      </w:r>
      <w:r w:rsidR="00C407D6" w:rsidRPr="007761D5">
        <w:rPr>
          <w:rFonts w:ascii="Times New Roman" w:hAnsi="Times New Roman" w:cs="Times New Roman"/>
          <w:sz w:val="28"/>
          <w:szCs w:val="28"/>
          <w:lang w:val="ro-RO"/>
        </w:rPr>
        <w:t>18.02.2023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pot fi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reînoite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, prelungite, prin renegociere, în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îndeplinirii corespunzătoare a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atribuţiilor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/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obligaţiilor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asumate.</w:t>
      </w:r>
    </w:p>
    <w:p w14:paraId="0407DB38" w14:textId="481890F2" w:rsidR="00934360" w:rsidRPr="007761D5" w:rsidRDefault="00934360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   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Prin decizia nr</w:t>
      </w:r>
      <w:r w:rsidR="00C407D6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E459E" w:rsidRPr="007761D5">
        <w:rPr>
          <w:rFonts w:ascii="Times New Roman" w:hAnsi="Times New Roman" w:cs="Times New Roman"/>
          <w:sz w:val="28"/>
          <w:szCs w:val="28"/>
          <w:lang w:val="ro-RO"/>
        </w:rPr>
        <w:t>7/20.02.2023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Consiliul de Administrație al AQUATIM S.A. a fost constituit Comitetul de Nominalizare și Remunerare din cadrul C</w:t>
      </w:r>
      <w:r w:rsidR="001B05B5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1B05B5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cu următoarea componență:</w:t>
      </w:r>
    </w:p>
    <w:p w14:paraId="3C71A925" w14:textId="77777777" w:rsidR="00934360" w:rsidRPr="007761D5" w:rsidRDefault="00934360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72B3F3" w14:textId="77777777" w:rsidR="00934360" w:rsidRPr="007761D5" w:rsidRDefault="00934360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1.POPESCU CARMEN NICOLETA</w:t>
      </w:r>
    </w:p>
    <w:p w14:paraId="1E6E645F" w14:textId="133ACC25" w:rsidR="00934360" w:rsidRPr="007761D5" w:rsidRDefault="00934360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2.</w:t>
      </w:r>
      <w:r w:rsidR="005D1CE0" w:rsidRPr="007761D5">
        <w:rPr>
          <w:rFonts w:ascii="Times New Roman" w:hAnsi="Times New Roman" w:cs="Times New Roman"/>
          <w:sz w:val="28"/>
          <w:szCs w:val="28"/>
          <w:lang w:val="ro-RO"/>
        </w:rPr>
        <w:t>CANEA IANCU</w:t>
      </w:r>
    </w:p>
    <w:p w14:paraId="0C0D43FE" w14:textId="77777777" w:rsidR="00934360" w:rsidRPr="007761D5" w:rsidRDefault="00934360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3.NOVAC AURELIAN REMUS</w:t>
      </w:r>
    </w:p>
    <w:p w14:paraId="73F61294" w14:textId="77777777" w:rsidR="00934360" w:rsidRPr="007761D5" w:rsidRDefault="00934360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4.STEFEA PETRU MARIN</w:t>
      </w:r>
    </w:p>
    <w:p w14:paraId="4233B785" w14:textId="4DD8A23E" w:rsidR="00D16A17" w:rsidRPr="007761D5" w:rsidRDefault="00D16A17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Directorul general al AQUATIM S.A.</w:t>
      </w:r>
      <w:r w:rsidR="009E6FFF" w:rsidRPr="007761D5">
        <w:rPr>
          <w:rFonts w:ascii="Times New Roman" w:hAnsi="Times New Roman" w:cs="Times New Roman"/>
          <w:sz w:val="28"/>
          <w:szCs w:val="28"/>
          <w:lang w:val="ro-RO"/>
        </w:rPr>
        <w:t>- dr. Ing. Ilie Vlaicu,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 fost numit prin decizia C</w:t>
      </w:r>
      <w:r w:rsidR="001B05B5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onsiliului de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1B05B5" w:rsidRPr="007761D5">
        <w:rPr>
          <w:rFonts w:ascii="Times New Roman" w:hAnsi="Times New Roman" w:cs="Times New Roman"/>
          <w:sz w:val="28"/>
          <w:szCs w:val="28"/>
          <w:lang w:val="ro-RO"/>
        </w:rPr>
        <w:t>dministrație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nr</w:t>
      </w:r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407D6" w:rsidRPr="007761D5">
        <w:rPr>
          <w:rFonts w:ascii="Times New Roman" w:hAnsi="Times New Roman" w:cs="Times New Roman"/>
          <w:sz w:val="28"/>
          <w:szCs w:val="28"/>
          <w:lang w:val="ro-RO"/>
        </w:rPr>
        <w:t>13/12.04.2023</w:t>
      </w:r>
      <w:r w:rsidR="007676A1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cu respectarea principiilor OUG nr.109/2011 privind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guvernanţa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corporativă, în baza criteriilor de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experienţă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în activitatea de conducere a întreprinderii publice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în baza ofertei tehnice depuse în cadrul procedurii de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7F3F04" w:rsidRPr="007761D5">
        <w:rPr>
          <w:rFonts w:ascii="Times New Roman" w:hAnsi="Times New Roman" w:cs="Times New Roman"/>
          <w:sz w:val="28"/>
          <w:szCs w:val="28"/>
          <w:lang w:val="ro-RO"/>
        </w:rPr>
        <w:t>elecţie</w:t>
      </w:r>
      <w:proofErr w:type="spellEnd"/>
      <w:r w:rsidR="007F3F04" w:rsidRPr="007761D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devenind administrator executiv.</w:t>
      </w:r>
    </w:p>
    <w:p w14:paraId="5514379E" w14:textId="549D01CC" w:rsidR="00B22C18" w:rsidRDefault="009E6FFF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Directorul economic al AQUATIM S.A., ec.</w:t>
      </w:r>
      <w:r w:rsidR="003B789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Marioara Călțun, a fost numit</w:t>
      </w:r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prin decizia C</w:t>
      </w:r>
      <w:r w:rsidR="005D1CE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onsiliului de </w:t>
      </w:r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D1CE0" w:rsidRPr="007761D5">
        <w:rPr>
          <w:rFonts w:ascii="Times New Roman" w:hAnsi="Times New Roman" w:cs="Times New Roman"/>
          <w:sz w:val="28"/>
          <w:szCs w:val="28"/>
          <w:lang w:val="ro-RO"/>
        </w:rPr>
        <w:t>dministrație</w:t>
      </w:r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C407D6" w:rsidRPr="007761D5">
        <w:rPr>
          <w:rFonts w:ascii="Times New Roman" w:hAnsi="Times New Roman" w:cs="Times New Roman"/>
          <w:sz w:val="28"/>
          <w:szCs w:val="28"/>
          <w:lang w:val="ro-RO"/>
        </w:rPr>
        <w:t>41/02.10.2023</w:t>
      </w:r>
      <w:r w:rsidR="007F3F04" w:rsidRPr="007761D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cu respectarea principiilor OUG nr.109/2011 privind </w:t>
      </w:r>
      <w:proofErr w:type="spellStart"/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>guvernanţa</w:t>
      </w:r>
      <w:proofErr w:type="spellEnd"/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corporativă, în baza criteriilor de </w:t>
      </w:r>
      <w:proofErr w:type="spellStart"/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>experienţă</w:t>
      </w:r>
      <w:proofErr w:type="spellEnd"/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în activitatea de conducere a întreprinderii publice </w:t>
      </w:r>
      <w:proofErr w:type="spellStart"/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în baza ofertei tehnice depuse în cadrul procedurii de </w:t>
      </w:r>
      <w:proofErr w:type="spellStart"/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>selecţie</w:t>
      </w:r>
      <w:proofErr w:type="spellEnd"/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8BC5A09" w14:textId="77777777" w:rsidR="00C134C1" w:rsidRPr="007761D5" w:rsidRDefault="00C134C1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4CE1C1F" w14:textId="6999D5D1" w:rsidR="00D16A17" w:rsidRPr="007761D5" w:rsidRDefault="006A5096" w:rsidP="00C134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D16A17" w:rsidRPr="007761D5">
        <w:rPr>
          <w:rFonts w:ascii="Times New Roman" w:hAnsi="Times New Roman" w:cs="Times New Roman"/>
          <w:sz w:val="28"/>
          <w:szCs w:val="28"/>
          <w:lang w:val="ro-RO"/>
        </w:rPr>
        <w:t>Condu</w:t>
      </w:r>
      <w:r w:rsidR="0093436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cerea executivă a </w:t>
      </w:r>
      <w:proofErr w:type="spellStart"/>
      <w:r w:rsidR="00934360" w:rsidRPr="007761D5">
        <w:rPr>
          <w:rFonts w:ascii="Times New Roman" w:hAnsi="Times New Roman" w:cs="Times New Roman"/>
          <w:sz w:val="28"/>
          <w:szCs w:val="28"/>
          <w:lang w:val="ro-RO"/>
        </w:rPr>
        <w:t>societăţii</w:t>
      </w:r>
      <w:proofErr w:type="spellEnd"/>
      <w:r w:rsidR="0093436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avea</w:t>
      </w:r>
      <w:r w:rsidR="009E6FF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879B2" w:rsidRPr="007761D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E6FFF" w:rsidRPr="007761D5">
        <w:rPr>
          <w:rFonts w:ascii="Times New Roman" w:hAnsi="Times New Roman" w:cs="Times New Roman"/>
          <w:sz w:val="28"/>
          <w:szCs w:val="28"/>
          <w:lang w:val="ro-RO"/>
        </w:rPr>
        <w:t>n anul 202</w:t>
      </w:r>
      <w:r w:rsidR="005D1CE0" w:rsidRPr="007761D5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16A1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următoarea </w:t>
      </w:r>
      <w:proofErr w:type="spellStart"/>
      <w:r w:rsidR="00D16A17" w:rsidRPr="007761D5">
        <w:rPr>
          <w:rFonts w:ascii="Times New Roman" w:hAnsi="Times New Roman" w:cs="Times New Roman"/>
          <w:sz w:val="28"/>
          <w:szCs w:val="28"/>
          <w:lang w:val="ro-RO"/>
        </w:rPr>
        <w:t>componenţă</w:t>
      </w:r>
      <w:proofErr w:type="spellEnd"/>
      <w:r w:rsidR="00D16A17" w:rsidRPr="007761D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2198C29" w14:textId="77777777" w:rsidR="00222F2D" w:rsidRPr="007761D5" w:rsidRDefault="00D16A17" w:rsidP="00C134C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VLAICU ILIE- director general;</w:t>
      </w:r>
    </w:p>
    <w:p w14:paraId="7922AB87" w14:textId="77777777" w:rsidR="00B22C18" w:rsidRPr="007761D5" w:rsidRDefault="009E6FFF" w:rsidP="00C134C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CĂLȚUN MARIOARA- director economic</w:t>
      </w:r>
      <w:r w:rsidR="00B22C18" w:rsidRPr="007761D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21B4172" w14:textId="53FBB780" w:rsidR="00D16A17" w:rsidRPr="007761D5" w:rsidRDefault="00D16A17" w:rsidP="00C134C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STÎNEAN GHEORGHE- director </w:t>
      </w:r>
      <w:r w:rsidR="000879B2" w:rsidRPr="007761D5">
        <w:rPr>
          <w:rFonts w:ascii="Times New Roman" w:hAnsi="Times New Roman" w:cs="Times New Roman"/>
          <w:sz w:val="28"/>
          <w:szCs w:val="28"/>
          <w:lang w:val="ro-RO"/>
        </w:rPr>
        <w:t>tehnic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AAA7F5E" w14:textId="67F4AB67" w:rsidR="00D16A17" w:rsidRPr="007761D5" w:rsidRDefault="005D1CE0" w:rsidP="00C134C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EPERIEȘ IOAN MARIAN</w:t>
      </w:r>
      <w:r w:rsidR="00D16A1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- director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producție</w:t>
      </w:r>
      <w:r w:rsidR="00D16A17" w:rsidRPr="007761D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9E50187" w14:textId="4F3F1AF5" w:rsidR="00D16A17" w:rsidRPr="007761D5" w:rsidRDefault="00DC50AF" w:rsidP="00C134C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LAICHICI VALENTIN FLORIN-</w:t>
      </w:r>
      <w:r w:rsidR="006F58D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director </w:t>
      </w:r>
      <w:r w:rsidR="005D1CE0" w:rsidRPr="007761D5">
        <w:rPr>
          <w:rFonts w:ascii="Times New Roman" w:hAnsi="Times New Roman" w:cs="Times New Roman"/>
          <w:sz w:val="28"/>
          <w:szCs w:val="28"/>
          <w:lang w:val="ro-RO"/>
        </w:rPr>
        <w:t>operațional</w:t>
      </w:r>
      <w:r w:rsidR="00D16A17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17883B8" w14:textId="77777777" w:rsidR="00414999" w:rsidRPr="007761D5" w:rsidRDefault="00414999" w:rsidP="00C134C1">
      <w:pPr>
        <w:pStyle w:val="Listparagraf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5761DDFE" w14:textId="5ADB8852" w:rsidR="002A0781" w:rsidRDefault="002A34E2" w:rsidP="004527F4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>Structura remunerației administratorilor ș</w:t>
      </w:r>
      <w:r w:rsidR="003371A3" w:rsidRPr="007761D5">
        <w:rPr>
          <w:rFonts w:ascii="Times New Roman" w:hAnsi="Times New Roman" w:cs="Times New Roman"/>
          <w:b/>
          <w:sz w:val="28"/>
          <w:szCs w:val="28"/>
          <w:lang w:val="ro-RO"/>
        </w:rPr>
        <w:t>i a directorilor executivi.</w:t>
      </w:r>
      <w:r w:rsidR="004A1ACD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09B40975" w14:textId="77777777" w:rsidR="004527F4" w:rsidRPr="007761D5" w:rsidRDefault="004527F4" w:rsidP="004527F4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DD0E8B3" w14:textId="5D80732F" w:rsidR="00574692" w:rsidRPr="007761D5" w:rsidRDefault="002A0781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Contractele de mandat/ de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administraţie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au fost încheiate pe o perioadă de 4 ani, începând cu data de până la </w:t>
      </w:r>
      <w:r w:rsidR="00C407D6" w:rsidRPr="007761D5">
        <w:rPr>
          <w:rFonts w:ascii="Times New Roman" w:hAnsi="Times New Roman" w:cs="Times New Roman"/>
          <w:sz w:val="28"/>
          <w:szCs w:val="28"/>
          <w:lang w:val="ro-RO"/>
        </w:rPr>
        <w:t>18.02.2023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pot fi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reînoite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, prelungite, prin renegociere, în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îndeplinirii corespunzătoare a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atribuţiilor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/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obligaţiilor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asumate.</w:t>
      </w:r>
    </w:p>
    <w:p w14:paraId="4CB89546" w14:textId="731D1F1F" w:rsidR="00657580" w:rsidRPr="007761D5" w:rsidRDefault="00722F40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Conform contracte</w:t>
      </w:r>
      <w:r w:rsidR="00681FB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lor de mandat/de </w:t>
      </w:r>
      <w:proofErr w:type="spellStart"/>
      <w:r w:rsidR="00681FBF" w:rsidRPr="007761D5">
        <w:rPr>
          <w:rFonts w:ascii="Times New Roman" w:hAnsi="Times New Roman" w:cs="Times New Roman"/>
          <w:sz w:val="28"/>
          <w:szCs w:val="28"/>
          <w:lang w:val="ro-RO"/>
        </w:rPr>
        <w:t>administraţ</w:t>
      </w:r>
      <w:r w:rsidR="002A0781" w:rsidRPr="007761D5">
        <w:rPr>
          <w:rFonts w:ascii="Times New Roman" w:hAnsi="Times New Roman" w:cs="Times New Roman"/>
          <w:sz w:val="28"/>
          <w:szCs w:val="28"/>
          <w:lang w:val="ro-RO"/>
        </w:rPr>
        <w:t>ie</w:t>
      </w:r>
      <w:proofErr w:type="spellEnd"/>
      <w:r w:rsidR="002A0781" w:rsidRPr="007761D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81FB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administratorii neexecutivi au dreptul </w:t>
      </w:r>
      <w:r w:rsidR="00D23E4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la o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remuneraţie</w:t>
      </w:r>
      <w:proofErr w:type="spellEnd"/>
      <w:r w:rsidR="009A30A6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formată dintr-o </w:t>
      </w:r>
      <w:r w:rsidR="00535B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35B8C" w:rsidRPr="007761D5">
        <w:rPr>
          <w:rFonts w:ascii="Times New Roman" w:hAnsi="Times New Roman" w:cs="Times New Roman"/>
          <w:sz w:val="28"/>
          <w:szCs w:val="28"/>
          <w:lang w:val="ro-RO"/>
        </w:rPr>
        <w:t>indemnizaţie</w:t>
      </w:r>
      <w:proofErr w:type="spellEnd"/>
      <w:r w:rsidR="00535B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fixă lunară </w:t>
      </w:r>
      <w:proofErr w:type="spellStart"/>
      <w:r w:rsidR="00535B8C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535B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o componentă variabilă în cuantum de 25%-50% d</w:t>
      </w:r>
      <w:r w:rsidR="0065758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proofErr w:type="spellStart"/>
      <w:r w:rsidR="00657580" w:rsidRPr="007761D5">
        <w:rPr>
          <w:rFonts w:ascii="Times New Roman" w:hAnsi="Times New Roman" w:cs="Times New Roman"/>
          <w:sz w:val="28"/>
          <w:szCs w:val="28"/>
          <w:lang w:val="ro-RO"/>
        </w:rPr>
        <w:t>indemnizaţia</w:t>
      </w:r>
      <w:proofErr w:type="spellEnd"/>
      <w:r w:rsidR="0065758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fixă</w:t>
      </w:r>
      <w:r w:rsidR="009A30A6" w:rsidRPr="007761D5">
        <w:rPr>
          <w:rFonts w:ascii="Times New Roman" w:hAnsi="Times New Roman" w:cs="Times New Roman"/>
          <w:sz w:val="28"/>
          <w:szCs w:val="28"/>
          <w:lang w:val="ro-RO"/>
        </w:rPr>
        <w:t>, acordată numai dacă obiectivele și criteriile de performanță stabilite în Anexa nr.1 la contractul de mandat sunt îndeplinite cumulat, de la începutul anului.</w:t>
      </w:r>
    </w:p>
    <w:p w14:paraId="62DDB59E" w14:textId="6FA19996" w:rsidR="00DB69CF" w:rsidRPr="007761D5" w:rsidRDefault="009A30A6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Acordarea integrală a remunerațiilor în funcție de îndeplinirea unor criterii de performanță se bazează pe principiile impuse de o guvernanță corporativă performantă, astfel cum este stabilită în O.U.G. nr.109/2011.</w:t>
      </w:r>
    </w:p>
    <w:p w14:paraId="60437006" w14:textId="1D4F2A14" w:rsidR="00A82E89" w:rsidRPr="007761D5" w:rsidRDefault="00407817" w:rsidP="00C134C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ab/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Remunera</w:t>
      </w:r>
      <w:r w:rsidR="00A82E89" w:rsidRPr="007761D5">
        <w:rPr>
          <w:rFonts w:ascii="Cambria Math" w:hAnsi="Cambria Math" w:cs="Cambria Math"/>
          <w:sz w:val="28"/>
          <w:szCs w:val="28"/>
          <w:lang w:val="ro-RO"/>
        </w:rPr>
        <w:t>ț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ia director</w:t>
      </w:r>
      <w:r w:rsidR="003818F8" w:rsidRPr="007761D5">
        <w:rPr>
          <w:rFonts w:ascii="Times New Roman" w:hAnsi="Times New Roman" w:cs="Times New Roman"/>
          <w:sz w:val="28"/>
          <w:szCs w:val="28"/>
          <w:lang w:val="ro-RO"/>
        </w:rPr>
        <w:t>ului general ș</w:t>
      </w:r>
      <w:r w:rsidR="003125A7" w:rsidRPr="007761D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3818F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directorului</w:t>
      </w:r>
      <w:r w:rsidR="003125A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economic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este formată dintr-o indemniza</w:t>
      </w:r>
      <w:r w:rsidR="00A82E89" w:rsidRPr="007761D5">
        <w:rPr>
          <w:rFonts w:ascii="Cambria Math" w:hAnsi="Cambria Math" w:cs="Cambria Math"/>
          <w:sz w:val="28"/>
          <w:szCs w:val="28"/>
          <w:lang w:val="ro-RO"/>
        </w:rPr>
        <w:t>ț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ie fixă lunară </w:t>
      </w:r>
      <w:r w:rsidR="00A82E89" w:rsidRPr="007761D5">
        <w:rPr>
          <w:rFonts w:ascii="Cambria Math" w:hAnsi="Cambria Math" w:cs="Cambria Math"/>
          <w:sz w:val="28"/>
          <w:szCs w:val="28"/>
          <w:lang w:val="ro-RO"/>
        </w:rPr>
        <w:t>ș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i o componentă variabilă constând în</w:t>
      </w:r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>tr-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o sumă lunară</w:t>
      </w:r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condiţionată</w:t>
      </w:r>
      <w:proofErr w:type="spellEnd"/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îndeplinirea unor indicatori </w:t>
      </w:r>
      <w:proofErr w:type="spellStart"/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criterii de </w:t>
      </w:r>
      <w:proofErr w:type="spellStart"/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performanţă</w:t>
      </w:r>
      <w:proofErr w:type="spellEnd"/>
      <w:r w:rsidR="00DF42E3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>(cu calcul lunar)</w:t>
      </w:r>
      <w:r w:rsidR="003818F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anexă la contractele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mandat </w:t>
      </w:r>
      <w:proofErr w:type="spellStart"/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o sumă anuală </w:t>
      </w:r>
      <w:proofErr w:type="spellStart"/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condiţionată</w:t>
      </w:r>
      <w:proofErr w:type="spellEnd"/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neînregistrarea de pierderi de către societate</w:t>
      </w:r>
      <w:r w:rsidR="003818F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ș</w:t>
      </w:r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 aprobarea </w:t>
      </w:r>
      <w:proofErr w:type="spellStart"/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>situaţiilor</w:t>
      </w:r>
      <w:proofErr w:type="spellEnd"/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18F8" w:rsidRPr="007761D5">
        <w:rPr>
          <w:rFonts w:ascii="Times New Roman" w:hAnsi="Times New Roman" w:cs="Times New Roman"/>
          <w:sz w:val="28"/>
          <w:szCs w:val="28"/>
          <w:lang w:val="ro-RO"/>
        </w:rPr>
        <w:t>financiare anuale de că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>tre Adunarea General</w:t>
      </w:r>
      <w:r w:rsidR="009A30A6" w:rsidRPr="007761D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>Actionarilor</w:t>
      </w:r>
      <w:proofErr w:type="spellEnd"/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 AQUATIM S.A.</w:t>
      </w:r>
    </w:p>
    <w:p w14:paraId="162D8EF8" w14:textId="00A52063" w:rsidR="00A82E89" w:rsidRPr="007761D5" w:rsidRDefault="007137F5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Contractele de m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andat al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directorului general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si directorului economic cuprind Anexa nr.1 cu un număr de</w:t>
      </w:r>
      <w:r w:rsidR="00754C4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11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indicatori de performan</w:t>
      </w:r>
      <w:r w:rsidR="00A82E89" w:rsidRPr="007761D5">
        <w:rPr>
          <w:rFonts w:ascii="Cambria Math" w:hAnsi="Cambria Math" w:cs="Cambria Math"/>
          <w:sz w:val="28"/>
          <w:szCs w:val="28"/>
          <w:lang w:val="ro-RO"/>
        </w:rPr>
        <w:t>ț</w:t>
      </w:r>
      <w:r w:rsidR="00A82E89" w:rsidRPr="007761D5">
        <w:rPr>
          <w:rFonts w:ascii="Times New Roman" w:hAnsi="Times New Roman" w:cs="Times New Roman"/>
          <w:sz w:val="28"/>
          <w:szCs w:val="28"/>
          <w:lang w:val="ro-RO"/>
        </w:rPr>
        <w:t>ă, fiecare av</w:t>
      </w:r>
      <w:r w:rsidR="00BC47AC" w:rsidRPr="007761D5">
        <w:rPr>
          <w:rFonts w:ascii="Times New Roman" w:hAnsi="Times New Roman" w:cs="Times New Roman"/>
          <w:sz w:val="28"/>
          <w:szCs w:val="28"/>
          <w:lang w:val="ro-RO"/>
        </w:rPr>
        <w:t>ând un coeficient de ponderare</w:t>
      </w:r>
      <w:r w:rsidR="00754C49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CD26C13" w14:textId="580085F1" w:rsidR="00A82E89" w:rsidRPr="007761D5" w:rsidRDefault="00A82E89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Indemniza</w:t>
      </w:r>
      <w:r w:rsidRPr="007761D5">
        <w:rPr>
          <w:rFonts w:ascii="Cambria Math" w:hAnsi="Cambria Math" w:cs="Cambria Math"/>
          <w:sz w:val="28"/>
          <w:szCs w:val="28"/>
          <w:lang w:val="ro-RO"/>
        </w:rPr>
        <w:t>ț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754C49" w:rsidRPr="007761D5">
        <w:rPr>
          <w:rFonts w:ascii="Times New Roman" w:hAnsi="Times New Roman" w:cs="Times New Roman"/>
          <w:sz w:val="28"/>
          <w:szCs w:val="28"/>
          <w:lang w:val="ro-RO"/>
        </w:rPr>
        <w:t>ile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fix</w:t>
      </w:r>
      <w:r w:rsidR="00754C49" w:rsidRPr="007761D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lunar</w:t>
      </w:r>
      <w:r w:rsidR="00754C49" w:rsidRPr="007761D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cuvenit</w:t>
      </w:r>
      <w:r w:rsidR="00754C49" w:rsidRPr="007761D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directorului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general </w:t>
      </w:r>
      <w:r w:rsidR="00754C49" w:rsidRPr="007761D5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>i directorului economic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se acordă integral, în fiecare lună,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iar </w:t>
      </w:r>
      <w:r w:rsidR="006F58D7" w:rsidRPr="007761D5">
        <w:rPr>
          <w:rFonts w:ascii="Times New Roman" w:hAnsi="Times New Roman" w:cs="Times New Roman"/>
          <w:sz w:val="28"/>
          <w:szCs w:val="28"/>
          <w:lang w:val="ro-RO"/>
        </w:rPr>
        <w:t>componenta variabilă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F58D7" w:rsidRPr="007761D5">
        <w:rPr>
          <w:rFonts w:ascii="Times New Roman" w:hAnsi="Times New Roman" w:cs="Times New Roman"/>
          <w:sz w:val="28"/>
          <w:szCs w:val="28"/>
          <w:lang w:val="ro-RO"/>
        </w:rPr>
        <w:t>lunară, proporț</w:t>
      </w:r>
      <w:r w:rsidR="003818F8" w:rsidRPr="007761D5">
        <w:rPr>
          <w:rFonts w:ascii="Times New Roman" w:hAnsi="Times New Roman" w:cs="Times New Roman"/>
          <w:sz w:val="28"/>
          <w:szCs w:val="28"/>
          <w:lang w:val="ro-RO"/>
        </w:rPr>
        <w:t>ional cu gradul de î</w:t>
      </w:r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>ndeplinire a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obiectivel</w:t>
      </w:r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61D5">
        <w:rPr>
          <w:rFonts w:ascii="Cambria Math" w:hAnsi="Cambria Math" w:cs="Cambria Math"/>
          <w:sz w:val="28"/>
          <w:szCs w:val="28"/>
          <w:lang w:val="ro-RO"/>
        </w:rPr>
        <w:t>ș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 criteriil</w:t>
      </w:r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performan</w:t>
      </w:r>
      <w:r w:rsidRPr="007761D5">
        <w:rPr>
          <w:rFonts w:ascii="Cambria Math" w:hAnsi="Cambria Math" w:cs="Cambria Math"/>
          <w:sz w:val="28"/>
          <w:szCs w:val="28"/>
          <w:lang w:val="ro-RO"/>
        </w:rPr>
        <w:t>ț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stabilite prin Anexa nr. 1 la c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ontra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>ctele</w:t>
      </w:r>
      <w:r w:rsidR="00B27A5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>de m</w:t>
      </w:r>
      <w:r w:rsidR="00B27A58" w:rsidRPr="007761D5">
        <w:rPr>
          <w:rFonts w:ascii="Times New Roman" w:hAnsi="Times New Roman" w:cs="Times New Roman"/>
          <w:sz w:val="28"/>
          <w:szCs w:val="28"/>
          <w:lang w:val="ro-RO"/>
        </w:rPr>
        <w:t>andat</w:t>
      </w:r>
      <w:r w:rsidR="00C657AB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27A5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F8906A4" w14:textId="742386BB" w:rsidR="00A82E89" w:rsidRDefault="00A82E89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Dacă obiectivele </w:t>
      </w:r>
      <w:r w:rsidRPr="007761D5">
        <w:rPr>
          <w:rFonts w:ascii="Cambria Math" w:hAnsi="Cambria Math" w:cs="Cambria Math"/>
          <w:sz w:val="28"/>
          <w:szCs w:val="28"/>
          <w:lang w:val="ro-RO"/>
        </w:rPr>
        <w:t>ș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 criteriile de performan</w:t>
      </w:r>
      <w:r w:rsidRPr="007761D5">
        <w:rPr>
          <w:rFonts w:ascii="Cambria Math" w:hAnsi="Cambria Math" w:cs="Cambria Math"/>
          <w:sz w:val="28"/>
          <w:szCs w:val="28"/>
          <w:lang w:val="ro-RO"/>
        </w:rPr>
        <w:t>ț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ă stabilite prin Anexa nr. 1 la Contractul de Mandat nu sunt î</w:t>
      </w:r>
      <w:r w:rsidR="003818F8" w:rsidRPr="007761D5">
        <w:rPr>
          <w:rFonts w:ascii="Times New Roman" w:hAnsi="Times New Roman" w:cs="Times New Roman"/>
          <w:sz w:val="28"/>
          <w:szCs w:val="28"/>
          <w:lang w:val="ro-RO"/>
        </w:rPr>
        <w:t>ndeplinite, remuneraț</w:t>
      </w:r>
      <w:r w:rsidR="007137F5" w:rsidRPr="007761D5">
        <w:rPr>
          <w:rFonts w:ascii="Times New Roman" w:hAnsi="Times New Roman" w:cs="Times New Roman"/>
          <w:sz w:val="28"/>
          <w:szCs w:val="28"/>
          <w:lang w:val="ro-RO"/>
        </w:rPr>
        <w:t>iile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se diminuează propor</w:t>
      </w:r>
      <w:r w:rsidRPr="007761D5">
        <w:rPr>
          <w:rFonts w:ascii="Cambria Math" w:hAnsi="Cambria Math" w:cs="Cambria Math"/>
          <w:sz w:val="28"/>
          <w:szCs w:val="28"/>
          <w:lang w:val="ro-RO"/>
        </w:rPr>
        <w:t>ț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ional cu gradul de neî</w:t>
      </w:r>
      <w:r w:rsidR="00574692" w:rsidRPr="007761D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deplinire a obiectivelor </w:t>
      </w:r>
      <w:r w:rsidRPr="007761D5">
        <w:rPr>
          <w:rFonts w:ascii="Cambria Math" w:hAnsi="Cambria Math" w:cs="Cambria Math"/>
          <w:sz w:val="28"/>
          <w:szCs w:val="28"/>
          <w:lang w:val="ro-RO"/>
        </w:rPr>
        <w:t>ș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 criteriilor.</w:t>
      </w:r>
    </w:p>
    <w:p w14:paraId="6B2366C4" w14:textId="77777777" w:rsidR="00135254" w:rsidRDefault="00135254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F9D70D" w14:textId="77777777" w:rsidR="00135254" w:rsidRDefault="00135254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F934C72" w14:textId="77777777" w:rsidR="00C134C1" w:rsidRPr="007761D5" w:rsidRDefault="00C134C1" w:rsidP="00C134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01FF8EB" w14:textId="48B80BA1" w:rsidR="003371A3" w:rsidRPr="007761D5" w:rsidRDefault="002A34E2" w:rsidP="00C134C1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</w:t>
      </w:r>
      <w:r w:rsidR="00574692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371A3" w:rsidRPr="007761D5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 w:rsidR="00574692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A82E89" w:rsidRPr="007761D5">
        <w:rPr>
          <w:rFonts w:ascii="Times New Roman" w:hAnsi="Times New Roman" w:cs="Times New Roman"/>
          <w:b/>
          <w:sz w:val="28"/>
          <w:szCs w:val="28"/>
          <w:lang w:val="ro-RO"/>
        </w:rPr>
        <w:t>Criterile</w:t>
      </w:r>
      <w:proofErr w:type="spellEnd"/>
      <w:r w:rsidR="00A82E89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</w:t>
      </w:r>
      <w:proofErr w:type="spellStart"/>
      <w:r w:rsidR="00C41D0A" w:rsidRPr="007761D5">
        <w:rPr>
          <w:rFonts w:ascii="Times New Roman" w:hAnsi="Times New Roman" w:cs="Times New Roman"/>
          <w:b/>
          <w:sz w:val="28"/>
          <w:szCs w:val="28"/>
          <w:lang w:val="ro-RO"/>
        </w:rPr>
        <w:t>performanţă</w:t>
      </w:r>
      <w:proofErr w:type="spellEnd"/>
      <w:r w:rsidR="00C41D0A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privind </w:t>
      </w:r>
      <w:proofErr w:type="spellStart"/>
      <w:r w:rsidR="00C41D0A" w:rsidRPr="007761D5">
        <w:rPr>
          <w:rFonts w:ascii="Times New Roman" w:hAnsi="Times New Roman" w:cs="Times New Roman"/>
          <w:b/>
          <w:sz w:val="28"/>
          <w:szCs w:val="28"/>
          <w:lang w:val="ro-RO"/>
        </w:rPr>
        <w:t>performanţa</w:t>
      </w:r>
      <w:proofErr w:type="spellEnd"/>
      <w:r w:rsidR="00C41D0A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82E89" w:rsidRPr="007761D5">
        <w:rPr>
          <w:rFonts w:ascii="Times New Roman" w:hAnsi="Times New Roman" w:cs="Times New Roman"/>
          <w:b/>
          <w:sz w:val="28"/>
          <w:szCs w:val="28"/>
          <w:lang w:val="ro-RO"/>
        </w:rPr>
        <w:t>realizată, a</w:t>
      </w:r>
      <w:r w:rsidR="00574692" w:rsidRPr="007761D5">
        <w:rPr>
          <w:rFonts w:ascii="Times New Roman" w:hAnsi="Times New Roman" w:cs="Times New Roman"/>
          <w:b/>
          <w:sz w:val="28"/>
          <w:szCs w:val="28"/>
          <w:lang w:val="ro-RO"/>
        </w:rPr>
        <w:t>le administratorilor</w:t>
      </w:r>
      <w:r w:rsidR="00A82E89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directorului general </w:t>
      </w:r>
      <w:proofErr w:type="spellStart"/>
      <w:r w:rsidR="00A82E89" w:rsidRPr="007761D5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A82E89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directorilor executivi.</w:t>
      </w:r>
    </w:p>
    <w:p w14:paraId="21067C25" w14:textId="36CC30C4" w:rsidR="00EC79E1" w:rsidRDefault="002A34E2" w:rsidP="00C134C1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Obiectivele </w:t>
      </w:r>
      <w:proofErr w:type="spellStart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criterii</w:t>
      </w:r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le de </w:t>
      </w:r>
      <w:proofErr w:type="spellStart"/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>perform</w:t>
      </w:r>
      <w:r w:rsidR="00656980" w:rsidRPr="007761D5">
        <w:rPr>
          <w:rFonts w:ascii="Times New Roman" w:hAnsi="Times New Roman" w:cs="Times New Roman"/>
          <w:sz w:val="28"/>
          <w:szCs w:val="28"/>
          <w:lang w:val="ro-RO"/>
        </w:rPr>
        <w:t>anţă</w:t>
      </w:r>
      <w:proofErr w:type="spellEnd"/>
      <w:r w:rsidR="0065698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ale administratorilor, directorului general și</w:t>
      </w:r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ale directorului economic au fost stabilite </w:t>
      </w:r>
      <w:proofErr w:type="spellStart"/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introduse în Contract</w:t>
      </w:r>
      <w:r w:rsidR="002B11B4" w:rsidRPr="007761D5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2B11B4" w:rsidRPr="007761D5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andat, conform Planului de </w:t>
      </w:r>
      <w:r w:rsidR="0083023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dministrare ce include strategia de administrare pe durata mandatului pentru atingerea obiectivelor </w:t>
      </w:r>
      <w:proofErr w:type="spellStart"/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criteriilor de </w:t>
      </w:r>
      <w:proofErr w:type="spellStart"/>
      <w:r w:rsidR="00C74D8C" w:rsidRPr="007761D5">
        <w:rPr>
          <w:rFonts w:ascii="Times New Roman" w:hAnsi="Times New Roman" w:cs="Times New Roman"/>
          <w:sz w:val="28"/>
          <w:szCs w:val="28"/>
          <w:lang w:val="ro-RO"/>
        </w:rPr>
        <w:t>performanţă</w:t>
      </w:r>
      <w:proofErr w:type="spellEnd"/>
      <w:r w:rsidR="00C74D8C"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, </w:t>
      </w:r>
    </w:p>
    <w:p w14:paraId="5E1B24F3" w14:textId="3459A8F2" w:rsidR="00D31E3F" w:rsidRDefault="00D31E3F" w:rsidP="00C134C1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19B17250" w14:textId="1232F900" w:rsidR="00153F2D" w:rsidRPr="00EC79E1" w:rsidRDefault="002A34E2" w:rsidP="00C134C1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>Sub aspectul indicatorilor cheie de performan</w:t>
      </w:r>
      <w:r w:rsidR="00453B6F" w:rsidRPr="007761D5">
        <w:rPr>
          <w:rFonts w:ascii="Cambria Math" w:hAnsi="Cambria Math" w:cs="Cambria Math"/>
          <w:sz w:val="28"/>
          <w:szCs w:val="28"/>
          <w:lang w:val="ro-RO"/>
        </w:rPr>
        <w:t>ț</w:t>
      </w:r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>ă, se monitorizează permanen</w:t>
      </w:r>
      <w:r w:rsidR="00D62790" w:rsidRPr="007761D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activit</w:t>
      </w:r>
      <w:r w:rsidR="00D62790" w:rsidRPr="007761D5">
        <w:rPr>
          <w:rFonts w:ascii="Times New Roman" w:hAnsi="Times New Roman" w:cs="Times New Roman"/>
          <w:sz w:val="28"/>
          <w:szCs w:val="28"/>
          <w:lang w:val="ro-RO"/>
        </w:rPr>
        <w:t>atea</w:t>
      </w:r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pe parcursul duratei mandatului de administrator, cel </w:t>
      </w:r>
      <w:proofErr w:type="spellStart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>puţin</w:t>
      </w:r>
      <w:proofErr w:type="spellEnd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prin următoarele criterii de apreciere a </w:t>
      </w:r>
      <w:proofErr w:type="spellStart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>eficienţei</w:t>
      </w:r>
      <w:proofErr w:type="spellEnd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>eficacităţii</w:t>
      </w:r>
      <w:proofErr w:type="spellEnd"/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, împreună cu nivelurile lor </w:t>
      </w:r>
      <w:r w:rsidR="00453B6F" w:rsidRPr="007761D5">
        <w:rPr>
          <w:rFonts w:ascii="Cambria Math" w:hAnsi="Cambria Math" w:cs="Cambria Math"/>
          <w:sz w:val="28"/>
          <w:szCs w:val="28"/>
          <w:lang w:val="ro-RO"/>
        </w:rPr>
        <w:t>ț</w:t>
      </w:r>
      <w:r w:rsidR="00453B6F" w:rsidRPr="007761D5">
        <w:rPr>
          <w:rFonts w:ascii="Times New Roman" w:hAnsi="Times New Roman" w:cs="Times New Roman"/>
          <w:sz w:val="28"/>
          <w:szCs w:val="28"/>
          <w:lang w:val="ro-RO"/>
        </w:rPr>
        <w:t>intă:</w:t>
      </w:r>
    </w:p>
    <w:p w14:paraId="38D73BBD" w14:textId="5E9A96D5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E46BBEC" w14:textId="287B28F9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8EDEF2" w14:textId="6597C0E6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7E67CE1" w14:textId="7777777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200C2F9" w14:textId="1DD61026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702F1B" w14:textId="7777777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81F050" w14:textId="7777777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0A16CE9" w14:textId="332955D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0C4044" w14:textId="4F0D97E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66B3CB" w14:textId="3CA5D516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EE92A70" w14:textId="6B996336" w:rsidR="004025FE" w:rsidRDefault="00D31E3F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61312" behindDoc="0" locked="0" layoutInCell="1" allowOverlap="1" wp14:anchorId="631DBD30" wp14:editId="767FF5CA">
            <wp:simplePos x="0" y="0"/>
            <wp:positionH relativeFrom="margin">
              <wp:align>left</wp:align>
            </wp:positionH>
            <wp:positionV relativeFrom="paragraph">
              <wp:posOffset>-2303615</wp:posOffset>
            </wp:positionV>
            <wp:extent cx="5709920" cy="4596765"/>
            <wp:effectExtent l="0" t="0" r="5080" b="0"/>
            <wp:wrapSquare wrapText="bothSides"/>
            <wp:docPr id="116511738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59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2E4CC" w14:textId="2AE7807E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215C1AB" w14:textId="6675DDD1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5ABF16" w14:textId="6FFA1C8F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3042016" w14:textId="7777777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A50DBC" w14:textId="7777777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784B290" w14:textId="7777777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BB6CD8D" w14:textId="7777777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E3E47D3" w14:textId="77777777" w:rsidR="004025FE" w:rsidRDefault="004025FE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ACB147" w14:textId="77777777" w:rsidR="004025FE" w:rsidRPr="00D31E3F" w:rsidRDefault="004025FE" w:rsidP="00D31E3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5CCD0A53" w14:textId="2775D7AD" w:rsidR="00C52FF5" w:rsidRPr="00830234" w:rsidRDefault="008505C5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0234">
        <w:rPr>
          <w:rFonts w:ascii="Times New Roman" w:hAnsi="Times New Roman" w:cs="Times New Roman"/>
          <w:sz w:val="28"/>
          <w:szCs w:val="28"/>
          <w:lang w:val="ro-RO"/>
        </w:rPr>
        <w:t>În vederea executării mandatului, director</w:t>
      </w:r>
      <w:r w:rsidR="00C52FF5" w:rsidRPr="00830234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general</w:t>
      </w:r>
      <w:r w:rsidR="003125A7"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si</w:t>
      </w:r>
      <w:r w:rsidR="00C52FF5"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directorul</w:t>
      </w:r>
      <w:r w:rsidR="003125A7"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economic</w:t>
      </w:r>
      <w:r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3125A7" w:rsidRPr="00830234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înto</w:t>
      </w:r>
      <w:r w:rsidR="00B14323"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cmit </w:t>
      </w:r>
      <w:r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0234" w:rsidRPr="00830234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3371A3" w:rsidRPr="00830234">
        <w:rPr>
          <w:rFonts w:ascii="Times New Roman" w:hAnsi="Times New Roman" w:cs="Times New Roman"/>
          <w:sz w:val="28"/>
          <w:szCs w:val="28"/>
          <w:lang w:val="ro-RO"/>
        </w:rPr>
        <w:t>omponenta</w:t>
      </w:r>
      <w:r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de management cuprinzând strategia de conducere pentru atingerea obiectivelor </w:t>
      </w:r>
      <w:proofErr w:type="spellStart"/>
      <w:r w:rsidRPr="00830234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criteriilor de </w:t>
      </w:r>
      <w:proofErr w:type="spellStart"/>
      <w:r w:rsidRPr="00830234">
        <w:rPr>
          <w:rFonts w:ascii="Times New Roman" w:hAnsi="Times New Roman" w:cs="Times New Roman"/>
          <w:sz w:val="28"/>
          <w:szCs w:val="28"/>
          <w:lang w:val="ro-RO"/>
        </w:rPr>
        <w:t>performanţă</w:t>
      </w:r>
      <w:proofErr w:type="spellEnd"/>
      <w:r w:rsidRPr="00830234">
        <w:rPr>
          <w:rFonts w:ascii="Times New Roman" w:hAnsi="Times New Roman" w:cs="Times New Roman"/>
          <w:sz w:val="28"/>
          <w:szCs w:val="28"/>
          <w:lang w:val="ro-RO"/>
        </w:rPr>
        <w:t>, corelat</w:t>
      </w:r>
      <w:r w:rsidR="00656980" w:rsidRPr="0083023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52FF5"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 cu Planul de A</w:t>
      </w:r>
      <w:r w:rsidRPr="00830234">
        <w:rPr>
          <w:rFonts w:ascii="Times New Roman" w:hAnsi="Times New Roman" w:cs="Times New Roman"/>
          <w:sz w:val="28"/>
          <w:szCs w:val="28"/>
          <w:lang w:val="ro-RO"/>
        </w:rPr>
        <w:t>dministrare al AQUATIM S.</w:t>
      </w:r>
      <w:r w:rsidR="003371A3" w:rsidRPr="00830234">
        <w:rPr>
          <w:rFonts w:ascii="Times New Roman" w:hAnsi="Times New Roman" w:cs="Times New Roman"/>
          <w:sz w:val="28"/>
          <w:szCs w:val="28"/>
          <w:lang w:val="ro-RO"/>
        </w:rPr>
        <w:t xml:space="preserve">A. </w:t>
      </w:r>
    </w:p>
    <w:p w14:paraId="4112040B" w14:textId="0D96E9BC" w:rsidR="008505C5" w:rsidRPr="007761D5" w:rsidRDefault="008505C5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Contractul de mandat al directorului general are ca obiect organizarea, conducerea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gestionarea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activităţilor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societăţii</w:t>
      </w:r>
      <w:proofErr w:type="spellEnd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respectiv asigurarea managementului logistic </w:t>
      </w:r>
      <w:proofErr w:type="spellStart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managementului </w:t>
      </w:r>
      <w:proofErr w:type="spellStart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>operaţional</w:t>
      </w:r>
      <w:proofErr w:type="spellEnd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 </w:t>
      </w:r>
      <w:proofErr w:type="spellStart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>producţiei</w:t>
      </w:r>
      <w:proofErr w:type="spellEnd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pe baza unor obiective </w:t>
      </w:r>
      <w:proofErr w:type="spellStart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criterii de </w:t>
      </w:r>
      <w:proofErr w:type="spellStart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>performanţă</w:t>
      </w:r>
      <w:proofErr w:type="spellEnd"/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, stabilite </w:t>
      </w:r>
      <w:r w:rsidR="0075442E" w:rsidRPr="007761D5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33728D" w:rsidRPr="007761D5">
        <w:rPr>
          <w:rFonts w:ascii="Times New Roman" w:hAnsi="Times New Roman" w:cs="Times New Roman"/>
          <w:sz w:val="28"/>
          <w:szCs w:val="28"/>
          <w:lang w:val="ro-RO"/>
        </w:rPr>
        <w:t>i/sau revizuite anual.</w:t>
      </w:r>
    </w:p>
    <w:p w14:paraId="6B31F76E" w14:textId="7F71A36C" w:rsidR="00C52FF5" w:rsidRPr="007761D5" w:rsidRDefault="00C52FF5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Contractul de mandat al directorului economic are ca obiect exercitarea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atributiilor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coordonare a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activitatii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economice/financiare pe baza unor obiective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criterii de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performanţă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, stabilite </w:t>
      </w:r>
      <w:r w:rsidR="0075442E" w:rsidRPr="007761D5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i/sau revizuite anual.</w:t>
      </w:r>
    </w:p>
    <w:p w14:paraId="134CD2D2" w14:textId="7EEEE811" w:rsidR="00D31E3F" w:rsidRPr="007761D5" w:rsidRDefault="00D31E3F" w:rsidP="00D31E3F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62336" behindDoc="0" locked="0" layoutInCell="1" allowOverlap="1" wp14:anchorId="33603F38" wp14:editId="59660C6D">
            <wp:simplePos x="0" y="0"/>
            <wp:positionH relativeFrom="margin">
              <wp:posOffset>189230</wp:posOffset>
            </wp:positionH>
            <wp:positionV relativeFrom="paragraph">
              <wp:posOffset>1049020</wp:posOffset>
            </wp:positionV>
            <wp:extent cx="5960745" cy="4922520"/>
            <wp:effectExtent l="0" t="0" r="0" b="0"/>
            <wp:wrapSquare wrapText="bothSides"/>
            <wp:docPr id="92838508" name="Imagine 3" descr="O imagine care conține text, captură de ecran, număr, softwar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8508" name="Imagine 3" descr="O imagine care conține text, captură de ecran, număr, softwar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492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323D39" w:rsidRPr="007761D5">
        <w:rPr>
          <w:rFonts w:ascii="Times New Roman" w:hAnsi="Times New Roman" w:cs="Times New Roman"/>
          <w:sz w:val="28"/>
          <w:szCs w:val="28"/>
          <w:lang w:val="ro-RO"/>
        </w:rPr>
        <w:t>ndica</w:t>
      </w:r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torii de </w:t>
      </w:r>
      <w:proofErr w:type="spellStart"/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>erfomanță</w:t>
      </w:r>
      <w:proofErr w:type="spellEnd"/>
      <w:r w:rsidR="00323D39" w:rsidRPr="007761D5">
        <w:rPr>
          <w:rFonts w:ascii="Times New Roman" w:hAnsi="Times New Roman" w:cs="Times New Roman"/>
          <w:sz w:val="28"/>
          <w:szCs w:val="28"/>
          <w:lang w:val="ro-RO"/>
        </w:rPr>
        <w:t>, pentr</w:t>
      </w:r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>u director</w:t>
      </w:r>
      <w:r w:rsidR="002B11B4" w:rsidRPr="007761D5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5D3C05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general </w:t>
      </w:r>
      <w:r w:rsidR="002B11B4" w:rsidRPr="007761D5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5D3C05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2B11B4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directorul </w:t>
      </w:r>
      <w:r w:rsidR="005D3C05" w:rsidRPr="007761D5">
        <w:rPr>
          <w:rFonts w:ascii="Times New Roman" w:hAnsi="Times New Roman" w:cs="Times New Roman"/>
          <w:sz w:val="28"/>
          <w:szCs w:val="28"/>
          <w:lang w:val="ro-RO"/>
        </w:rPr>
        <w:t>economic</w:t>
      </w:r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>, constituiți î</w:t>
      </w:r>
      <w:r w:rsidR="00323D39" w:rsidRPr="007761D5">
        <w:rPr>
          <w:rFonts w:ascii="Times New Roman" w:hAnsi="Times New Roman" w:cs="Times New Roman"/>
          <w:sz w:val="28"/>
          <w:szCs w:val="28"/>
          <w:lang w:val="ro-RO"/>
        </w:rPr>
        <w:t>n Ane</w:t>
      </w:r>
      <w:r w:rsidR="00FA4B61" w:rsidRPr="007761D5">
        <w:rPr>
          <w:rFonts w:ascii="Times New Roman" w:hAnsi="Times New Roman" w:cs="Times New Roman"/>
          <w:sz w:val="28"/>
          <w:szCs w:val="28"/>
          <w:lang w:val="ro-RO"/>
        </w:rPr>
        <w:t>xa nr.</w:t>
      </w:r>
      <w:r w:rsidR="00B20BE7" w:rsidRPr="007761D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FA4B61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la contract</w:t>
      </w:r>
      <w:r w:rsidR="002B11B4" w:rsidRPr="007761D5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="00FA4B61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mandat</w:t>
      </w:r>
      <w:r w:rsidR="00323D39" w:rsidRPr="007761D5">
        <w:rPr>
          <w:rFonts w:ascii="Times New Roman" w:hAnsi="Times New Roman" w:cs="Times New Roman"/>
          <w:sz w:val="28"/>
          <w:szCs w:val="28"/>
          <w:lang w:val="ro-RO"/>
        </w:rPr>
        <w:t>, au</w:t>
      </w:r>
      <w:r w:rsidR="0079774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avut</w:t>
      </w:r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un grad de î</w:t>
      </w:r>
      <w:r w:rsidR="00323D39" w:rsidRPr="007761D5">
        <w:rPr>
          <w:rFonts w:ascii="Times New Roman" w:hAnsi="Times New Roman" w:cs="Times New Roman"/>
          <w:sz w:val="28"/>
          <w:szCs w:val="28"/>
          <w:lang w:val="ro-RO"/>
        </w:rPr>
        <w:t>ndeplinir</w:t>
      </w:r>
      <w:r w:rsidR="0065698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e ponderat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pe perioada</w:t>
      </w:r>
      <w:r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01.01.2023-31.12.2023 de 100 %,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(bază pentru acordarea componentei variabile anuale), respectiv:</w:t>
      </w:r>
    </w:p>
    <w:p w14:paraId="18AF33BA" w14:textId="031F7E8B" w:rsidR="00D31E3F" w:rsidRDefault="00D31E3F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12F62A" w14:textId="47861C0D" w:rsidR="00D31E3F" w:rsidRDefault="00D31E3F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502BC82" w14:textId="39178BDF" w:rsidR="00754C49" w:rsidRPr="007761D5" w:rsidRDefault="00754C49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8EFD8CD" w14:textId="67AA82F6" w:rsidR="00414999" w:rsidRPr="007761D5" w:rsidRDefault="00B25E1F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Pe lângă criteriile și obiectivele de performanță lunari și anuali care se regăsesc î</w:t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>n anexa 1 la Contract</w:t>
      </w:r>
      <w:r w:rsidR="005D4B07" w:rsidRPr="007761D5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mandat, societatea mai are de î</w:t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ndeplinit </w:t>
      </w:r>
      <w:r w:rsidR="00B20BE7" w:rsidRPr="007761D5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proofErr w:type="spellStart"/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>alti</w:t>
      </w:r>
      <w:proofErr w:type="spellEnd"/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indicat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ori impuși prin contractele de î</w:t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>mprumut cu BERD.</w:t>
      </w:r>
      <w:r w:rsidR="00DF13E8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D4B07" w:rsidRPr="007761D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mprumuturile sunt pe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termen lung ș</w:t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 au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fost contractate pentru cofinanț</w:t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>area proiectelor realiza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te din fonduri europene</w:t>
      </w:r>
      <w:r w:rsidR="004E2FBE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B746F07" w14:textId="77777777" w:rsidR="004527F4" w:rsidRDefault="004E2FBE" w:rsidP="00C1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</w:t>
      </w:r>
      <w:r w:rsidR="00DF13E8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1911D0" w:rsidRPr="007761D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DF13E8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E0C0F" w:rsidRPr="007761D5">
        <w:rPr>
          <w:rFonts w:ascii="Times New Roman" w:hAnsi="Times New Roman" w:cs="Times New Roman"/>
          <w:sz w:val="28"/>
          <w:szCs w:val="28"/>
          <w:lang w:val="ro-RO"/>
        </w:rPr>
        <w:t>Pentru 202</w:t>
      </w:r>
      <w:r w:rsidR="00EB3796" w:rsidRPr="007761D5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7E0C0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la fel ca și în anii precedenț</w:t>
      </w:r>
      <w:r w:rsidR="00DF13E8" w:rsidRPr="007761D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indicatorii din contractul de î</w:t>
      </w:r>
      <w:r w:rsidR="00DF13E8" w:rsidRPr="007761D5">
        <w:rPr>
          <w:rFonts w:ascii="Times New Roman" w:hAnsi="Times New Roman" w:cs="Times New Roman"/>
          <w:sz w:val="28"/>
          <w:szCs w:val="28"/>
          <w:lang w:val="ro-RO"/>
        </w:rPr>
        <w:t>mprum</w:t>
      </w:r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>ut cu BERD au fost îndepliniț</w:t>
      </w:r>
      <w:r w:rsidR="00DF13E8" w:rsidRPr="007761D5">
        <w:rPr>
          <w:rFonts w:ascii="Times New Roman" w:hAnsi="Times New Roman" w:cs="Times New Roman"/>
          <w:sz w:val="28"/>
          <w:szCs w:val="28"/>
          <w:lang w:val="ro-RO"/>
        </w:rPr>
        <w:t>i.</w:t>
      </w: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</w:p>
    <w:p w14:paraId="2EE4440C" w14:textId="5DEE565F" w:rsidR="00DB69CF" w:rsidRPr="007761D5" w:rsidRDefault="004E2FBE" w:rsidP="00C1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</w:p>
    <w:p w14:paraId="1471BE80" w14:textId="6492FC93" w:rsidR="006261AE" w:rsidRDefault="00E65B81" w:rsidP="004527F4">
      <w:pPr>
        <w:pStyle w:val="Listparagraf"/>
        <w:numPr>
          <w:ilvl w:val="0"/>
          <w:numId w:val="8"/>
        </w:numPr>
        <w:spacing w:after="0"/>
        <w:ind w:left="-142" w:firstLine="99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527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Cheltuieli aferente </w:t>
      </w:r>
      <w:r w:rsidR="002709EF" w:rsidRPr="004527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contractelor de </w:t>
      </w:r>
      <w:r w:rsidR="00DA5FC4" w:rsidRPr="004527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mandat ale administratorilor, </w:t>
      </w:r>
      <w:r w:rsidR="002709EF" w:rsidRPr="004527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directorului </w:t>
      </w:r>
      <w:r w:rsidR="00DA5FC4" w:rsidRPr="004527F4">
        <w:rPr>
          <w:rFonts w:ascii="Times New Roman" w:hAnsi="Times New Roman" w:cs="Times New Roman"/>
          <w:b/>
          <w:sz w:val="28"/>
          <w:szCs w:val="28"/>
          <w:lang w:val="ro-RO"/>
        </w:rPr>
        <w:t>general și directorului economic.</w:t>
      </w:r>
    </w:p>
    <w:p w14:paraId="59F8387C" w14:textId="77777777" w:rsidR="00656494" w:rsidRPr="004527F4" w:rsidRDefault="00656494" w:rsidP="00656494">
      <w:pPr>
        <w:pStyle w:val="Listparagraf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DF22B3E" w14:textId="3E147342" w:rsidR="00656494" w:rsidRPr="00656494" w:rsidRDefault="00656494" w:rsidP="00656494">
      <w:pPr>
        <w:spacing w:after="0"/>
        <w:ind w:firstLine="8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6494">
        <w:rPr>
          <w:rFonts w:ascii="Times New Roman" w:hAnsi="Times New Roman" w:cs="Times New Roman"/>
          <w:sz w:val="28"/>
          <w:szCs w:val="28"/>
          <w:lang w:val="ro-RO"/>
        </w:rPr>
        <w:t xml:space="preserve">În anul 2023, administratorii neexecutivi ai societății au beneficiat </w:t>
      </w:r>
      <w:r>
        <w:rPr>
          <w:rFonts w:ascii="Times New Roman" w:hAnsi="Times New Roman" w:cs="Times New Roman"/>
          <w:sz w:val="28"/>
          <w:szCs w:val="28"/>
          <w:lang w:val="ro-RO"/>
        </w:rPr>
        <w:t>pe lângă indemnizațiile lunare  și de utilizarea de</w:t>
      </w:r>
      <w:r w:rsidRPr="00656494">
        <w:rPr>
          <w:rFonts w:ascii="Times New Roman" w:hAnsi="Times New Roman" w:cs="Times New Roman"/>
          <w:sz w:val="28"/>
          <w:szCs w:val="28"/>
          <w:lang w:val="ro-RO"/>
        </w:rPr>
        <w:t xml:space="preserve"> telefoane mobile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1827A9D" w14:textId="77777777" w:rsidR="004527F4" w:rsidRPr="004527F4" w:rsidRDefault="004527F4" w:rsidP="004527F4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C6CFDF" w14:textId="0CE21AF1" w:rsidR="009C384E" w:rsidRPr="00DB69CF" w:rsidRDefault="006261AE" w:rsidP="00C134C1">
      <w:pPr>
        <w:pStyle w:val="Listparagraf"/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B20BE7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5FC4" w:rsidRPr="007761D5">
        <w:rPr>
          <w:rFonts w:ascii="Times New Roman" w:hAnsi="Times New Roman" w:cs="Times New Roman"/>
          <w:sz w:val="28"/>
          <w:szCs w:val="28"/>
          <w:lang w:val="ro-RO"/>
        </w:rPr>
        <w:t>În anul 202</w:t>
      </w:r>
      <w:r w:rsidR="005A36F3" w:rsidRPr="007761D5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8A563D" w:rsidRPr="007761D5">
        <w:rPr>
          <w:rFonts w:ascii="Times New Roman" w:hAnsi="Times New Roman" w:cs="Times New Roman"/>
          <w:sz w:val="28"/>
          <w:szCs w:val="28"/>
          <w:lang w:val="ro-RO"/>
        </w:rPr>
        <w:t>onform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prevederilor 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>din contractele</w:t>
      </w:r>
      <w:r w:rsidR="008A563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mandat nr.</w:t>
      </w:r>
      <w:r w:rsidR="001E5724" w:rsidRPr="007761D5">
        <w:rPr>
          <w:rFonts w:ascii="Times New Roman" w:hAnsi="Times New Roman" w:cs="Times New Roman"/>
          <w:sz w:val="28"/>
          <w:szCs w:val="28"/>
          <w:lang w:val="ro-RO"/>
        </w:rPr>
        <w:t>9779/12.04.2023</w:t>
      </w:r>
      <w:r w:rsidR="008A563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 directorului general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și nr.</w:t>
      </w:r>
      <w:r w:rsidR="009C384E" w:rsidRPr="007761D5">
        <w:rPr>
          <w:rFonts w:ascii="Times New Roman" w:hAnsi="Times New Roman" w:cs="Times New Roman"/>
          <w:sz w:val="28"/>
          <w:szCs w:val="28"/>
          <w:lang w:val="ro-RO"/>
        </w:rPr>
        <w:t>24752/02.10.2023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 directorului economic, aceștia</w:t>
      </w:r>
      <w:r w:rsidR="00123262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123262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beneficiat</w:t>
      </w:r>
      <w:r w:rsidR="00656494">
        <w:rPr>
          <w:rFonts w:ascii="Times New Roman" w:hAnsi="Times New Roman" w:cs="Times New Roman"/>
          <w:sz w:val="28"/>
          <w:szCs w:val="28"/>
          <w:lang w:val="ro-RO"/>
        </w:rPr>
        <w:t xml:space="preserve"> de remunerațiile lunare iar</w:t>
      </w:r>
      <w:r w:rsidR="00123262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în luna mai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123262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componenta variabilă</w:t>
      </w:r>
      <w:r w:rsidR="00314984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anuală</w:t>
      </w:r>
      <w:r w:rsidR="00123262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pentru anul 20</w:t>
      </w:r>
      <w:r w:rsidR="000879B2" w:rsidRPr="007761D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EB3796" w:rsidRPr="007761D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957FA62" w14:textId="45887C87" w:rsidR="009C384E" w:rsidRPr="00DB69CF" w:rsidRDefault="006261AE" w:rsidP="00C134C1">
      <w:pPr>
        <w:pStyle w:val="Listparagraf"/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            Această sumă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 fost prevăzută în BVC pe 202</w:t>
      </w:r>
      <w:r w:rsidR="00B20BE7" w:rsidRPr="007761D5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la capitolul C4 punctul </w:t>
      </w:r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, în trimestrul II.</w:t>
      </w:r>
      <w:r w:rsidR="00DB69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4CB093A" w14:textId="2302B46E" w:rsidR="00656494" w:rsidRDefault="006261AE" w:rsidP="00CC156F">
      <w:pPr>
        <w:pStyle w:val="Listparagraf"/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            Sum</w:t>
      </w:r>
      <w:r w:rsidR="009616F3" w:rsidRPr="007761D5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acordat</w:t>
      </w:r>
      <w:r w:rsidR="009616F3" w:rsidRPr="007761D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9616F3" w:rsidRPr="007761D5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fost aprobat</w:t>
      </w:r>
      <w:r w:rsidR="009616F3" w:rsidRPr="007761D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către Consiliul de </w:t>
      </w:r>
      <w:proofErr w:type="spellStart"/>
      <w:r w:rsidRPr="007761D5">
        <w:rPr>
          <w:rFonts w:ascii="Times New Roman" w:hAnsi="Times New Roman" w:cs="Times New Roman"/>
          <w:sz w:val="28"/>
          <w:szCs w:val="28"/>
          <w:lang w:val="ro-RO"/>
        </w:rPr>
        <w:t>Administraţ</w:t>
      </w:r>
      <w:r w:rsidR="009C384E" w:rsidRPr="007761D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e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al </w:t>
      </w:r>
      <w:proofErr w:type="spellStart"/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>societăţii</w:t>
      </w:r>
      <w:proofErr w:type="spellEnd"/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>, la propunerea Comit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etului de</w:t>
      </w:r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D4B07" w:rsidRPr="007761D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ominalizare </w:t>
      </w:r>
      <w:proofErr w:type="spellStart"/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D4B07" w:rsidRPr="007761D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emunerare, care a verificat îndeplinirea indicatorilor din Anexa nr.2</w:t>
      </w:r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la contractul de manda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>t, pentru anul 20</w:t>
      </w:r>
      <w:r w:rsidR="000879B2" w:rsidRPr="007761D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EB3796" w:rsidRPr="007761D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>. Suma a fost acordată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>după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aprobarea situaț</w:t>
      </w:r>
      <w:r w:rsidR="00314984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iilor financiare </w:t>
      </w:r>
      <w:r w:rsidR="00B14323" w:rsidRPr="007761D5">
        <w:rPr>
          <w:rFonts w:ascii="Times New Roman" w:hAnsi="Times New Roman" w:cs="Times New Roman"/>
          <w:sz w:val="28"/>
          <w:szCs w:val="28"/>
          <w:lang w:val="ro-RO"/>
        </w:rPr>
        <w:t>anuale de către A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dunarea </w:t>
      </w:r>
      <w:r w:rsidR="00B14323" w:rsidRPr="007761D5">
        <w:rPr>
          <w:rFonts w:ascii="Times New Roman" w:hAnsi="Times New Roman" w:cs="Times New Roman"/>
          <w:sz w:val="28"/>
          <w:szCs w:val="28"/>
          <w:lang w:val="ro-RO"/>
        </w:rPr>
        <w:t>G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enerală a </w:t>
      </w:r>
      <w:r w:rsidR="00B14323" w:rsidRPr="007761D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>cționarilor</w:t>
      </w:r>
      <w:r w:rsidR="00B14323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314984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baza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propunerii a stat </w:t>
      </w:r>
      <w:r w:rsidR="00314984" w:rsidRPr="007761D5">
        <w:rPr>
          <w:rFonts w:ascii="Times New Roman" w:hAnsi="Times New Roman" w:cs="Times New Roman"/>
          <w:sz w:val="28"/>
          <w:szCs w:val="28"/>
          <w:lang w:val="ro-RO"/>
        </w:rPr>
        <w:t>raport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314984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de activitate </w:t>
      </w:r>
      <w:r w:rsidR="00CB0AA3" w:rsidRPr="007761D5">
        <w:rPr>
          <w:rFonts w:ascii="Times New Roman" w:hAnsi="Times New Roman" w:cs="Times New Roman"/>
          <w:sz w:val="28"/>
          <w:szCs w:val="28"/>
          <w:lang w:val="ro-RO"/>
        </w:rPr>
        <w:t>al directorului general și directorului economic</w:t>
      </w:r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ce</w:t>
      </w:r>
      <w:r w:rsidR="00314984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cuprin</w:t>
      </w:r>
      <w:r w:rsidR="00B25E1F" w:rsidRPr="007761D5">
        <w:rPr>
          <w:rFonts w:ascii="Times New Roman" w:hAnsi="Times New Roman" w:cs="Times New Roman"/>
          <w:sz w:val="28"/>
          <w:szCs w:val="28"/>
          <w:lang w:val="ro-RO"/>
        </w:rPr>
        <w:t>de realizările societăț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DA5FC4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din anul financiar 20</w:t>
      </w:r>
      <w:r w:rsidR="000879B2" w:rsidRPr="007761D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1E5724" w:rsidRPr="007761D5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AA57BA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43AE8D3" w14:textId="77777777" w:rsidR="00CC156F" w:rsidRDefault="00CC156F" w:rsidP="00CC156F">
      <w:pPr>
        <w:pStyle w:val="Listparagraf"/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 asemenea, d</w:t>
      </w:r>
      <w:r w:rsidR="00656494" w:rsidRPr="00656494">
        <w:rPr>
          <w:rFonts w:ascii="Times New Roman" w:hAnsi="Times New Roman" w:cs="Times New Roman"/>
          <w:sz w:val="28"/>
          <w:szCs w:val="28"/>
          <w:lang w:val="ro-RO"/>
        </w:rPr>
        <w:t xml:space="preserve">irectorii au beneficiat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656494" w:rsidRPr="00656494">
        <w:rPr>
          <w:rFonts w:ascii="Times New Roman" w:hAnsi="Times New Roman" w:cs="Times New Roman"/>
          <w:sz w:val="28"/>
          <w:szCs w:val="28"/>
          <w:lang w:val="ro-RO"/>
        </w:rPr>
        <w:t xml:space="preserve">utilizarea în interes de serviciu a unui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telefon mobil și a unui </w:t>
      </w:r>
      <w:r w:rsidR="00656494" w:rsidRPr="00656494">
        <w:rPr>
          <w:rFonts w:ascii="Times New Roman" w:hAnsi="Times New Roman" w:cs="Times New Roman"/>
          <w:sz w:val="28"/>
          <w:szCs w:val="28"/>
          <w:lang w:val="ro-RO"/>
        </w:rPr>
        <w:t>autoturism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8A0CE7D" w14:textId="3C36EE92" w:rsidR="00656494" w:rsidRDefault="00656494" w:rsidP="00CC156F">
      <w:pPr>
        <w:pStyle w:val="Listparagraf"/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64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C156F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656494">
        <w:rPr>
          <w:rFonts w:ascii="Times New Roman" w:hAnsi="Times New Roman" w:cs="Times New Roman"/>
          <w:sz w:val="28"/>
          <w:szCs w:val="28"/>
          <w:lang w:val="ro-RO"/>
        </w:rPr>
        <w:t xml:space="preserve">n ceea ce privește schemele de pensii suplimentare sau anticipate, directorii nu beneficiază de astfel de facilități.  </w:t>
      </w:r>
    </w:p>
    <w:p w14:paraId="3AE770DC" w14:textId="4DC5E96F" w:rsidR="00C134C1" w:rsidRDefault="00CC156F" w:rsidP="00C134C1">
      <w:pPr>
        <w:pStyle w:val="Listparagraf"/>
        <w:spacing w:after="0"/>
        <w:ind w:left="0" w:firstLine="8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Cu privire la</w:t>
      </w:r>
      <w:r w:rsidRPr="00656494">
        <w:rPr>
          <w:rFonts w:ascii="Times New Roman" w:hAnsi="Times New Roman" w:cs="Times New Roman"/>
          <w:sz w:val="28"/>
          <w:szCs w:val="28"/>
          <w:lang w:val="ro-RO"/>
        </w:rPr>
        <w:t xml:space="preserve"> eventualele scheme de bonusuri anuale sau avantaje </w:t>
      </w:r>
      <w:proofErr w:type="spellStart"/>
      <w:r w:rsidRPr="00656494">
        <w:rPr>
          <w:rFonts w:ascii="Times New Roman" w:hAnsi="Times New Roman" w:cs="Times New Roman"/>
          <w:sz w:val="28"/>
          <w:szCs w:val="28"/>
          <w:lang w:val="ro-RO"/>
        </w:rPr>
        <w:t>nebănești</w:t>
      </w:r>
      <w:proofErr w:type="spellEnd"/>
      <w:r w:rsidRPr="0065649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656494">
        <w:rPr>
          <w:rFonts w:ascii="Times New Roman" w:hAnsi="Times New Roman" w:cs="Times New Roman"/>
          <w:sz w:val="28"/>
          <w:szCs w:val="28"/>
          <w:lang w:val="ro-RO"/>
        </w:rPr>
        <w:t>n baza contractelor de mandat,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precizăm că atât administratorii societății cât și directorii nu au beneficiat de acestea.</w:t>
      </w:r>
    </w:p>
    <w:p w14:paraId="14D41D69" w14:textId="77777777" w:rsidR="00CC156F" w:rsidRPr="00C134C1" w:rsidRDefault="00CC156F" w:rsidP="00C134C1">
      <w:pPr>
        <w:pStyle w:val="Listparagraf"/>
        <w:spacing w:after="0"/>
        <w:ind w:left="0" w:firstLine="86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DF8932D" w14:textId="07BB063B" w:rsidR="00B4149A" w:rsidRDefault="00BF772A" w:rsidP="00CC156F">
      <w:pPr>
        <w:pStyle w:val="Listparagraf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>Informaț</w:t>
      </w:r>
      <w:r w:rsidR="00C05ACE" w:rsidRPr="007761D5">
        <w:rPr>
          <w:rFonts w:ascii="Times New Roman" w:hAnsi="Times New Roman" w:cs="Times New Roman"/>
          <w:b/>
          <w:sz w:val="28"/>
          <w:szCs w:val="28"/>
          <w:lang w:val="ro-RO"/>
        </w:rPr>
        <w:t>ii privind durata c</w:t>
      </w: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>ontractului, termenul negociat în cazul renunță</w:t>
      </w:r>
      <w:r w:rsidR="00EB105D" w:rsidRPr="007761D5">
        <w:rPr>
          <w:rFonts w:ascii="Times New Roman" w:hAnsi="Times New Roman" w:cs="Times New Roman"/>
          <w:b/>
          <w:sz w:val="28"/>
          <w:szCs w:val="28"/>
          <w:lang w:val="ro-RO"/>
        </w:rPr>
        <w:t>rii la mandat</w:t>
      </w:r>
      <w:r w:rsidR="00C05ACE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cuantumul </w:t>
      </w: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daunelor morale ș</w:t>
      </w:r>
      <w:r w:rsidR="00EB105D" w:rsidRPr="007761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i ale </w:t>
      </w:r>
      <w:r w:rsidR="00C05ACE" w:rsidRPr="007761D5">
        <w:rPr>
          <w:rFonts w:ascii="Times New Roman" w:hAnsi="Times New Roman" w:cs="Times New Roman"/>
          <w:b/>
          <w:sz w:val="28"/>
          <w:szCs w:val="28"/>
          <w:lang w:val="ro-RO"/>
        </w:rPr>
        <w:t>daunelo</w:t>
      </w:r>
      <w:r w:rsidRPr="007761D5">
        <w:rPr>
          <w:rFonts w:ascii="Times New Roman" w:hAnsi="Times New Roman" w:cs="Times New Roman"/>
          <w:b/>
          <w:sz w:val="28"/>
          <w:szCs w:val="28"/>
          <w:lang w:val="ro-RO"/>
        </w:rPr>
        <w:t>r-interese pentru revocarea fără justă cauză</w:t>
      </w:r>
      <w:r w:rsidR="00C05ACE" w:rsidRPr="007761D5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14:paraId="5BD4A496" w14:textId="77777777" w:rsidR="004527F4" w:rsidRPr="007761D5" w:rsidRDefault="004527F4" w:rsidP="004527F4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12F1D84" w14:textId="173B66FB" w:rsidR="009C384E" w:rsidRPr="007761D5" w:rsidRDefault="00B4149A" w:rsidP="00C134C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Contractele de mandat/de administrație au fost inițial prelungite provizoriu prin Hotărârea nr. 13/17.10.2022, de către Adunarea Generală a Acționarilor a AQUATIM S.A. până în </w:t>
      </w:r>
      <w:r w:rsidR="001E5724" w:rsidRPr="007761D5">
        <w:rPr>
          <w:rFonts w:ascii="Times New Roman" w:hAnsi="Times New Roman" w:cs="Times New Roman"/>
          <w:sz w:val="28"/>
          <w:szCs w:val="28"/>
          <w:lang w:val="ro-RO"/>
        </w:rPr>
        <w:t>17.02.2023.</w:t>
      </w:r>
    </w:p>
    <w:p w14:paraId="402482BD" w14:textId="569DB4E2" w:rsidR="0091021D" w:rsidRPr="007761D5" w:rsidRDefault="00C05ACE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Contractele de mandat/de </w:t>
      </w:r>
      <w:r w:rsidR="00E94DEB" w:rsidRPr="007761D5">
        <w:rPr>
          <w:rFonts w:ascii="Times New Roman" w:hAnsi="Times New Roman" w:cs="Times New Roman"/>
          <w:sz w:val="28"/>
          <w:szCs w:val="28"/>
          <w:lang w:val="ro-RO"/>
        </w:rPr>
        <w:t>administraț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ie au fost încheiat</w:t>
      </w:r>
      <w:r w:rsidR="00E94DEB" w:rsidRPr="007761D5">
        <w:rPr>
          <w:rFonts w:ascii="Times New Roman" w:hAnsi="Times New Roman" w:cs="Times New Roman"/>
          <w:sz w:val="28"/>
          <w:szCs w:val="28"/>
          <w:lang w:val="ro-RO"/>
        </w:rPr>
        <w:t>e pe o perioadă de 4 ani, începâ</w:t>
      </w:r>
      <w:r w:rsidR="00986AE8" w:rsidRPr="007761D5">
        <w:rPr>
          <w:rFonts w:ascii="Times New Roman" w:hAnsi="Times New Roman" w:cs="Times New Roman"/>
          <w:sz w:val="28"/>
          <w:szCs w:val="28"/>
          <w:lang w:val="ro-RO"/>
        </w:rPr>
        <w:t>nd cu 1</w:t>
      </w:r>
      <w:r w:rsidR="00B4149A" w:rsidRPr="007761D5">
        <w:rPr>
          <w:rFonts w:ascii="Times New Roman" w:hAnsi="Times New Roman" w:cs="Times New Roman"/>
          <w:sz w:val="28"/>
          <w:szCs w:val="28"/>
          <w:lang w:val="ro-RO"/>
        </w:rPr>
        <w:t>8.02.2023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până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la d</w:t>
      </w:r>
      <w:r w:rsidR="00986AE8" w:rsidRPr="007761D5">
        <w:rPr>
          <w:rFonts w:ascii="Times New Roman" w:hAnsi="Times New Roman" w:cs="Times New Roman"/>
          <w:sz w:val="28"/>
          <w:szCs w:val="28"/>
          <w:lang w:val="ro-RO"/>
        </w:rPr>
        <w:t>ata de</w:t>
      </w:r>
      <w:r w:rsidR="00B14323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 1</w:t>
      </w:r>
      <w:r w:rsidR="005A36F3" w:rsidRPr="007761D5">
        <w:rPr>
          <w:rFonts w:ascii="Times New Roman" w:hAnsi="Times New Roman" w:cs="Times New Roman"/>
          <w:sz w:val="28"/>
          <w:szCs w:val="28"/>
          <w:lang w:val="ro-RO"/>
        </w:rPr>
        <w:t>8.02.202</w:t>
      </w:r>
      <w:r w:rsidR="00B4149A" w:rsidRPr="007761D5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, ș</w:t>
      </w:r>
      <w:r w:rsidR="00124A50" w:rsidRPr="007761D5">
        <w:rPr>
          <w:rFonts w:ascii="Times New Roman" w:hAnsi="Times New Roman" w:cs="Times New Roman"/>
          <w:sz w:val="28"/>
          <w:szCs w:val="28"/>
          <w:lang w:val="ro-RO"/>
        </w:rPr>
        <w:t>i pot fi prelungite, prin renegociere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, în condițiile î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ndeplinirii</w:t>
      </w:r>
      <w:r w:rsidR="00124A5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obligaț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iilor asumate.</w:t>
      </w:r>
    </w:p>
    <w:p w14:paraId="2851454A" w14:textId="77777777" w:rsidR="001E5724" w:rsidRPr="007761D5" w:rsidRDefault="001E5724" w:rsidP="00C134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bookmarkStart w:id="1" w:name="_Hlk133275889"/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Contractul de mandat al directorului general, </w:t>
      </w:r>
      <w:r w:rsidRPr="007761D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 fost prelungit până la data de 15.04.2023, prin Decizia nr. 68 / 14.11.2022 a Consiliului de Administrație al AQUATIM S.A</w:t>
      </w:r>
      <w:bookmarkEnd w:id="1"/>
      <w:r w:rsidRPr="007761D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126EE631" w14:textId="3659A665" w:rsidR="00C05ACE" w:rsidRPr="007761D5" w:rsidRDefault="00C05ACE" w:rsidP="00C134C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Contractul de mandat al directorului general, a fost 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ncheiat</w:t>
      </w:r>
      <w:r w:rsidR="00124A5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pe o</w:t>
      </w:r>
      <w:r w:rsidR="00124A50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perioada de 4 ani, î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B14323" w:rsidRPr="007761D5">
        <w:rPr>
          <w:rFonts w:ascii="Times New Roman" w:hAnsi="Times New Roman" w:cs="Times New Roman"/>
          <w:sz w:val="28"/>
          <w:szCs w:val="28"/>
          <w:lang w:val="ro-RO"/>
        </w:rPr>
        <w:t>ep</w:t>
      </w:r>
      <w:r w:rsidR="0091021D" w:rsidRPr="007761D5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B14323" w:rsidRPr="007761D5">
        <w:rPr>
          <w:rFonts w:ascii="Times New Roman" w:hAnsi="Times New Roman" w:cs="Times New Roman"/>
          <w:sz w:val="28"/>
          <w:szCs w:val="28"/>
          <w:lang w:val="ro-RO"/>
        </w:rPr>
        <w:t>nd cu data de 1</w:t>
      </w:r>
      <w:r w:rsidR="005A36F3" w:rsidRPr="007761D5">
        <w:rPr>
          <w:rFonts w:ascii="Times New Roman" w:hAnsi="Times New Roman" w:cs="Times New Roman"/>
          <w:sz w:val="28"/>
          <w:szCs w:val="28"/>
          <w:lang w:val="ro-RO"/>
        </w:rPr>
        <w:t>6.04.2023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până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la data de </w:t>
      </w:r>
      <w:r w:rsidR="00B14323" w:rsidRPr="007761D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5A36F3" w:rsidRPr="007761D5">
        <w:rPr>
          <w:rFonts w:ascii="Times New Roman" w:hAnsi="Times New Roman" w:cs="Times New Roman"/>
          <w:sz w:val="28"/>
          <w:szCs w:val="28"/>
          <w:lang w:val="ro-RO"/>
        </w:rPr>
        <w:t>6.04.2027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ș</w:t>
      </w:r>
      <w:r w:rsidR="00124A50" w:rsidRPr="007761D5">
        <w:rPr>
          <w:rFonts w:ascii="Times New Roman" w:hAnsi="Times New Roman" w:cs="Times New Roman"/>
          <w:sz w:val="28"/>
          <w:szCs w:val="28"/>
          <w:lang w:val="ro-RO"/>
        </w:rPr>
        <w:t>i poate fi prelungit, pr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in renegociere, de</w:t>
      </w:r>
      <w:r w:rsidR="00E94DEB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comun acord, în condi</w:t>
      </w:r>
      <w:r w:rsidR="00B4149A" w:rsidRPr="007761D5">
        <w:rPr>
          <w:rFonts w:ascii="Times New Roman" w:hAnsi="Times New Roman" w:cs="Times New Roman"/>
          <w:sz w:val="28"/>
          <w:szCs w:val="28"/>
          <w:lang w:val="ro-RO"/>
        </w:rPr>
        <w:t>ți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ile îndeplinirii obligaț</w:t>
      </w:r>
      <w:r w:rsidR="00124A50" w:rsidRPr="007761D5">
        <w:rPr>
          <w:rFonts w:ascii="Times New Roman" w:hAnsi="Times New Roman" w:cs="Times New Roman"/>
          <w:sz w:val="28"/>
          <w:szCs w:val="28"/>
          <w:lang w:val="ro-RO"/>
        </w:rPr>
        <w:t>iilor asumate.</w:t>
      </w:r>
    </w:p>
    <w:p w14:paraId="6497FED8" w14:textId="2946C99E" w:rsidR="009C384E" w:rsidRPr="00C134C1" w:rsidRDefault="00B14323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Contractul de mandat al directorului economic, a fost încheiat pe o perioada de 4 ani, încep</w:t>
      </w:r>
      <w:r w:rsidR="005A36F3" w:rsidRPr="007761D5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nd cu data de </w:t>
      </w:r>
      <w:r w:rsidR="005A36F3" w:rsidRPr="007761D5">
        <w:rPr>
          <w:rFonts w:ascii="Times New Roman" w:hAnsi="Times New Roman" w:cs="Times New Roman"/>
          <w:sz w:val="28"/>
          <w:szCs w:val="28"/>
          <w:lang w:val="ro-RO"/>
        </w:rPr>
        <w:t>02.10.2023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până la data de 0</w:t>
      </w:r>
      <w:r w:rsidR="005A36F3" w:rsidRPr="007761D5">
        <w:rPr>
          <w:rFonts w:ascii="Times New Roman" w:hAnsi="Times New Roman" w:cs="Times New Roman"/>
          <w:sz w:val="28"/>
          <w:szCs w:val="28"/>
          <w:lang w:val="ro-RO"/>
        </w:rPr>
        <w:t>2.10.2027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și poate fi prelungit, prin renegociere, de comun acord, în condi</w:t>
      </w:r>
      <w:r w:rsidR="005A36F3" w:rsidRPr="007761D5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iile îndeplinirii obligațiilor asumate.</w:t>
      </w:r>
    </w:p>
    <w:p w14:paraId="6539884A" w14:textId="097478C4" w:rsidR="009C384E" w:rsidRPr="00C134C1" w:rsidRDefault="00BF772A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Neîndeplinirea și/sau îndeplinirea necorespunză</w:t>
      </w:r>
      <w:r w:rsidR="00EB105D" w:rsidRPr="007761D5">
        <w:rPr>
          <w:rFonts w:ascii="Times New Roman" w:hAnsi="Times New Roman" w:cs="Times New Roman"/>
          <w:sz w:val="28"/>
          <w:szCs w:val="28"/>
          <w:lang w:val="ro-RO"/>
        </w:rPr>
        <w:t>toare a obli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gațiilor asumate de către oricare dintre părț</w:t>
      </w:r>
      <w:r w:rsidR="00EB105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ile semnatare ale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contractului de mandat atrage răspunderea părții aflate în culpă</w:t>
      </w:r>
      <w:r w:rsidR="00EB105D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17524AC" w14:textId="624C341D" w:rsidR="009C384E" w:rsidRPr="00C134C1" w:rsidRDefault="00BF772A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Renunțarea la mandat/de administrație se poate efectua după înștiințarea prealabilă ( î</w:t>
      </w:r>
      <w:r w:rsidR="00EB105D" w:rsidRPr="007761D5">
        <w:rPr>
          <w:rFonts w:ascii="Times New Roman" w:hAnsi="Times New Roman" w:cs="Times New Roman"/>
          <w:sz w:val="28"/>
          <w:szCs w:val="28"/>
          <w:lang w:val="ro-RO"/>
        </w:rPr>
        <w:t>n scr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is) a consiliului de administraț</w:t>
      </w:r>
      <w:r w:rsidR="00EB105D" w:rsidRPr="007761D5">
        <w:rPr>
          <w:rFonts w:ascii="Times New Roman" w:hAnsi="Times New Roman" w:cs="Times New Roman"/>
          <w:sz w:val="28"/>
          <w:szCs w:val="28"/>
          <w:lang w:val="ro-RO"/>
        </w:rPr>
        <w:t>ie/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adunarea generală a acț</w:t>
      </w:r>
      <w:r w:rsidR="00EB105D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ionarilor cu minim 30 de 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zile calendaristice înainte de data la care urmează să se producă încetarea efectivă a exercitării funcț</w:t>
      </w:r>
      <w:r w:rsidR="00EB105D" w:rsidRPr="007761D5">
        <w:rPr>
          <w:rFonts w:ascii="Times New Roman" w:hAnsi="Times New Roman" w:cs="Times New Roman"/>
          <w:sz w:val="28"/>
          <w:szCs w:val="28"/>
          <w:lang w:val="ro-RO"/>
        </w:rPr>
        <w:t>iei de director general/ administrator.</w:t>
      </w:r>
    </w:p>
    <w:p w14:paraId="224610B1" w14:textId="7AE5311B" w:rsidR="009C384E" w:rsidRPr="00C134C1" w:rsidRDefault="00BF772A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Retragerea abuzivă a mandatului încredințat sau renunț</w:t>
      </w:r>
      <w:r w:rsidR="006075BE" w:rsidRPr="007761D5">
        <w:rPr>
          <w:rFonts w:ascii="Times New Roman" w:hAnsi="Times New Roman" w:cs="Times New Roman"/>
          <w:sz w:val="28"/>
          <w:szCs w:val="28"/>
          <w:lang w:val="ro-RO"/>
        </w:rPr>
        <w:t>area inte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mpestivă la mandat, anterior î</w:t>
      </w:r>
      <w:r w:rsidR="006075BE" w:rsidRPr="007761D5">
        <w:rPr>
          <w:rFonts w:ascii="Times New Roman" w:hAnsi="Times New Roman" w:cs="Times New Roman"/>
          <w:sz w:val="28"/>
          <w:szCs w:val="28"/>
          <w:lang w:val="ro-RO"/>
        </w:rPr>
        <w:t>mplinirii termenului contractului, condu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ce la plata de daune materiale ș</w:t>
      </w:r>
      <w:r w:rsidR="006075BE" w:rsidRPr="007761D5">
        <w:rPr>
          <w:rFonts w:ascii="Times New Roman" w:hAnsi="Times New Roman" w:cs="Times New Roman"/>
          <w:sz w:val="28"/>
          <w:szCs w:val="28"/>
          <w:lang w:val="ro-RO"/>
        </w:rPr>
        <w:t>i morale pentru prejudiciul suferit.</w:t>
      </w:r>
    </w:p>
    <w:p w14:paraId="60E0645D" w14:textId="769E0B06" w:rsidR="009C384E" w:rsidRPr="00C134C1" w:rsidRDefault="00BF772A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Valoarea daunelor morale urmează a fi stabilită prin hotărâre judec</w:t>
      </w:r>
      <w:r w:rsidR="009C384E" w:rsidRPr="007761D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torească</w:t>
      </w:r>
      <w:r w:rsidR="006075BE" w:rsidRPr="007761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71C6DBE" w14:textId="01301157" w:rsidR="009C384E" w:rsidRPr="00C134C1" w:rsidRDefault="006075BE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Valoa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rea daunelor interese ce urmează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fi pl</w:t>
      </w:r>
      <w:r w:rsidR="001E5724" w:rsidRPr="007761D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tită de partea în culpă, este stabilită la contravaloarea remuneraț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iei totale cuvenite </w:t>
      </w:r>
      <w:r w:rsidR="00BF772A" w:rsidRPr="007761D5">
        <w:rPr>
          <w:rFonts w:ascii="Times New Roman" w:hAnsi="Times New Roman" w:cs="Times New Roman"/>
          <w:sz w:val="28"/>
          <w:szCs w:val="28"/>
          <w:lang w:val="ro-RO"/>
        </w:rPr>
        <w:t>de la societate, pe perioada rămasă până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la expirarea mandatului.</w:t>
      </w:r>
    </w:p>
    <w:p w14:paraId="3D8C6CF6" w14:textId="563DEE42" w:rsidR="009C384E" w:rsidRPr="00C134C1" w:rsidRDefault="00597915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Prin acordul părț</w:t>
      </w:r>
      <w:r w:rsidR="006075BE" w:rsidRPr="007761D5">
        <w:rPr>
          <w:rFonts w:ascii="Times New Roman" w:hAnsi="Times New Roman" w:cs="Times New Roman"/>
          <w:sz w:val="28"/>
          <w:szCs w:val="28"/>
          <w:lang w:val="ro-RO"/>
        </w:rPr>
        <w:t>il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or, limitele daunelor ce urmează a fi plă</w:t>
      </w:r>
      <w:r w:rsidR="006075BE" w:rsidRPr="007761D5">
        <w:rPr>
          <w:rFonts w:ascii="Times New Roman" w:hAnsi="Times New Roman" w:cs="Times New Roman"/>
          <w:sz w:val="28"/>
          <w:szCs w:val="28"/>
          <w:lang w:val="ro-RO"/>
        </w:rPr>
        <w:t>tite pot fi diminuate.</w:t>
      </w:r>
    </w:p>
    <w:p w14:paraId="112AFF05" w14:textId="77777777" w:rsidR="00E94DEB" w:rsidRPr="007761D5" w:rsidRDefault="00597915" w:rsidP="00C134C1">
      <w:pPr>
        <w:pStyle w:val="Listparagr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sz w:val="28"/>
          <w:szCs w:val="28"/>
          <w:lang w:val="ro-RO"/>
        </w:rPr>
        <w:t>Părț</w:t>
      </w:r>
      <w:r w:rsidR="006075BE" w:rsidRPr="007761D5">
        <w:rPr>
          <w:rFonts w:ascii="Times New Roman" w:hAnsi="Times New Roman" w:cs="Times New Roman"/>
          <w:sz w:val="28"/>
          <w:szCs w:val="28"/>
          <w:lang w:val="ro-RO"/>
        </w:rPr>
        <w:t>ile au con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venit ca ră</w:t>
      </w:r>
      <w:r w:rsidR="006075BE" w:rsidRPr="007761D5">
        <w:rPr>
          <w:rFonts w:ascii="Times New Roman" w:hAnsi="Times New Roman" w:cs="Times New Roman"/>
          <w:sz w:val="28"/>
          <w:szCs w:val="28"/>
          <w:lang w:val="ro-RO"/>
        </w:rPr>
        <w:t>spunderea directorului general pentru prejudi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ciile materiale produse societății cu intenție, ca urmare a activității desfăș</w:t>
      </w:r>
      <w:r w:rsidR="006075BE" w:rsidRPr="007761D5">
        <w:rPr>
          <w:rFonts w:ascii="Times New Roman" w:hAnsi="Times New Roman" w:cs="Times New Roman"/>
          <w:sz w:val="28"/>
          <w:szCs w:val="28"/>
          <w:lang w:val="ro-RO"/>
        </w:rPr>
        <w:t>urate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AB1C75" w:rsidRPr="007761D5">
        <w:rPr>
          <w:rFonts w:ascii="Times New Roman" w:hAnsi="Times New Roman" w:cs="Times New Roman"/>
          <w:sz w:val="28"/>
          <w:szCs w:val="28"/>
          <w:lang w:val="ro-RO"/>
        </w:rPr>
        <w:t>n te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meiul contractului de mandat, să fie limitate la dauna directă suferită de societate, excluzâ</w:t>
      </w:r>
      <w:r w:rsidR="00AB1C75" w:rsidRPr="007761D5">
        <w:rPr>
          <w:rFonts w:ascii="Times New Roman" w:hAnsi="Times New Roman" w:cs="Times New Roman"/>
          <w:sz w:val="28"/>
          <w:szCs w:val="28"/>
          <w:lang w:val="ro-RO"/>
        </w:rPr>
        <w:t>ndu-se daunele ind</w:t>
      </w:r>
      <w:r w:rsidRPr="007761D5">
        <w:rPr>
          <w:rFonts w:ascii="Times New Roman" w:hAnsi="Times New Roman" w:cs="Times New Roman"/>
          <w:sz w:val="28"/>
          <w:szCs w:val="28"/>
          <w:lang w:val="ro-RO"/>
        </w:rPr>
        <w:t>irecte ș</w:t>
      </w:r>
      <w:r w:rsidR="00AB1C75" w:rsidRPr="007761D5">
        <w:rPr>
          <w:rFonts w:ascii="Times New Roman" w:hAnsi="Times New Roman" w:cs="Times New Roman"/>
          <w:sz w:val="28"/>
          <w:szCs w:val="28"/>
          <w:lang w:val="ro-RO"/>
        </w:rPr>
        <w:t>i imprevizibile.</w:t>
      </w:r>
    </w:p>
    <w:p w14:paraId="688DB5AF" w14:textId="77777777" w:rsidR="00C134C1" w:rsidRPr="007761D5" w:rsidRDefault="00C134C1" w:rsidP="00C134C1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14:paraId="28C38E72" w14:textId="77777777" w:rsidR="00146D4D" w:rsidRDefault="00146D4D" w:rsidP="00C134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E65B81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Comitetul de Nominalizare </w:t>
      </w:r>
      <w:proofErr w:type="spellStart"/>
      <w:r w:rsidR="00E65B81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="00E65B81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Remunerare:</w:t>
      </w:r>
    </w:p>
    <w:p w14:paraId="613F8D0C" w14:textId="77777777" w:rsidR="00135254" w:rsidRPr="007761D5" w:rsidRDefault="00135254" w:rsidP="00C134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13C6794" w14:textId="46A755FB" w:rsidR="00E65B81" w:rsidRPr="007761D5" w:rsidRDefault="00E65B81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1. POPESCU CARMEN NICOLETA</w:t>
      </w:r>
      <w:r w:rsidR="005A36F3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....................................</w:t>
      </w:r>
    </w:p>
    <w:p w14:paraId="355E9380" w14:textId="099FFED2" w:rsidR="00E65B81" w:rsidRPr="007761D5" w:rsidRDefault="00E65B81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2. </w:t>
      </w:r>
      <w:r w:rsidR="001D75F4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CANEA IANCU</w:t>
      </w:r>
      <w:r w:rsidR="00461D37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</w:t>
      </w:r>
      <w:r w:rsidR="005A36F3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</w:t>
      </w:r>
      <w:r w:rsidR="002B619C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461D37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A36F3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....................................</w:t>
      </w:r>
    </w:p>
    <w:p w14:paraId="084D5D5C" w14:textId="59FF7AFB" w:rsidR="00E65B81" w:rsidRPr="007761D5" w:rsidRDefault="00E65B81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3. NOVAC AURELIAN REMUS</w:t>
      </w:r>
      <w:r w:rsidR="005A36F3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="002B619C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A36F3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93EB8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</w:t>
      </w:r>
      <w:r w:rsidR="005A36F3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.................................</w:t>
      </w:r>
      <w:r w:rsidR="00461D37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</w:p>
    <w:p w14:paraId="68B9ED6C" w14:textId="5B836D5F" w:rsidR="00E65B81" w:rsidRPr="007761D5" w:rsidRDefault="00E65B81" w:rsidP="00C134C1">
      <w:pPr>
        <w:pStyle w:val="Listparagraf"/>
        <w:spacing w:after="0"/>
        <w:ind w:left="0" w:firstLine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</w:pPr>
      <w:r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4. STEFEA PETRU MARIN</w:t>
      </w:r>
      <w:r w:rsidR="00461D37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="00C93EB8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2B619C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93EB8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.......</w:t>
      </w:r>
      <w:r w:rsidR="005A36F3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..............................</w:t>
      </w:r>
      <w:r w:rsidR="00461D37" w:rsidRPr="007761D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</w:p>
    <w:sectPr w:rsidR="00E65B81" w:rsidRPr="007761D5" w:rsidSect="00CF32E3">
      <w:footerReference w:type="default" r:id="rId11"/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4CF64" w14:textId="77777777" w:rsidR="00946FC5" w:rsidRDefault="00946FC5" w:rsidP="0036017F">
      <w:pPr>
        <w:spacing w:after="0" w:line="240" w:lineRule="auto"/>
      </w:pPr>
      <w:r>
        <w:separator/>
      </w:r>
    </w:p>
  </w:endnote>
  <w:endnote w:type="continuationSeparator" w:id="0">
    <w:p w14:paraId="3AE57BC4" w14:textId="77777777" w:rsidR="00946FC5" w:rsidRDefault="00946FC5" w:rsidP="0036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8416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FB3C8" w14:textId="77777777" w:rsidR="0036017F" w:rsidRDefault="0036017F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4E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860D201" w14:textId="77777777" w:rsidR="0036017F" w:rsidRDefault="0036017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7C19A" w14:textId="77777777" w:rsidR="00946FC5" w:rsidRDefault="00946FC5" w:rsidP="0036017F">
      <w:pPr>
        <w:spacing w:after="0" w:line="240" w:lineRule="auto"/>
      </w:pPr>
      <w:r>
        <w:separator/>
      </w:r>
    </w:p>
  </w:footnote>
  <w:footnote w:type="continuationSeparator" w:id="0">
    <w:p w14:paraId="13D9D929" w14:textId="77777777" w:rsidR="00946FC5" w:rsidRDefault="00946FC5" w:rsidP="00360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56FD"/>
    <w:multiLevelType w:val="hybridMultilevel"/>
    <w:tmpl w:val="AE522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5033"/>
    <w:multiLevelType w:val="hybridMultilevel"/>
    <w:tmpl w:val="FDF65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23CC"/>
    <w:multiLevelType w:val="hybridMultilevel"/>
    <w:tmpl w:val="3E9AF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54986"/>
    <w:multiLevelType w:val="hybridMultilevel"/>
    <w:tmpl w:val="2F22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46DAD"/>
    <w:multiLevelType w:val="hybridMultilevel"/>
    <w:tmpl w:val="FA28926E"/>
    <w:lvl w:ilvl="0" w:tplc="E090B3A2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416C7DFC"/>
    <w:multiLevelType w:val="hybridMultilevel"/>
    <w:tmpl w:val="CDDCE6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D7722"/>
    <w:multiLevelType w:val="multilevel"/>
    <w:tmpl w:val="15409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83B6AAA"/>
    <w:multiLevelType w:val="hybridMultilevel"/>
    <w:tmpl w:val="F45C3478"/>
    <w:lvl w:ilvl="0" w:tplc="F6BAC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885341">
    <w:abstractNumId w:val="6"/>
  </w:num>
  <w:num w:numId="2" w16cid:durableId="1240362085">
    <w:abstractNumId w:val="1"/>
  </w:num>
  <w:num w:numId="3" w16cid:durableId="894194991">
    <w:abstractNumId w:val="2"/>
  </w:num>
  <w:num w:numId="4" w16cid:durableId="1214391079">
    <w:abstractNumId w:val="0"/>
  </w:num>
  <w:num w:numId="5" w16cid:durableId="1808667884">
    <w:abstractNumId w:val="4"/>
  </w:num>
  <w:num w:numId="6" w16cid:durableId="540552742">
    <w:abstractNumId w:val="7"/>
  </w:num>
  <w:num w:numId="7" w16cid:durableId="1703364342">
    <w:abstractNumId w:val="3"/>
  </w:num>
  <w:num w:numId="8" w16cid:durableId="1524246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3D"/>
    <w:rsid w:val="000224E8"/>
    <w:rsid w:val="00023F53"/>
    <w:rsid w:val="00026356"/>
    <w:rsid w:val="00036A8C"/>
    <w:rsid w:val="00046A07"/>
    <w:rsid w:val="00047554"/>
    <w:rsid w:val="00050C29"/>
    <w:rsid w:val="000511E0"/>
    <w:rsid w:val="00057D0A"/>
    <w:rsid w:val="000604C7"/>
    <w:rsid w:val="00060699"/>
    <w:rsid w:val="000631B7"/>
    <w:rsid w:val="00084839"/>
    <w:rsid w:val="000879B2"/>
    <w:rsid w:val="00095182"/>
    <w:rsid w:val="000A4C5B"/>
    <w:rsid w:val="000A4E25"/>
    <w:rsid w:val="000A76B9"/>
    <w:rsid w:val="000B7007"/>
    <w:rsid w:val="000E15D6"/>
    <w:rsid w:val="000E5DF7"/>
    <w:rsid w:val="00100CB4"/>
    <w:rsid w:val="00123262"/>
    <w:rsid w:val="0012436D"/>
    <w:rsid w:val="001247D5"/>
    <w:rsid w:val="00124A50"/>
    <w:rsid w:val="00131B03"/>
    <w:rsid w:val="00135254"/>
    <w:rsid w:val="00137F70"/>
    <w:rsid w:val="001418B0"/>
    <w:rsid w:val="00146D4D"/>
    <w:rsid w:val="001473AC"/>
    <w:rsid w:val="00153F2D"/>
    <w:rsid w:val="00172A89"/>
    <w:rsid w:val="00180A17"/>
    <w:rsid w:val="00181D47"/>
    <w:rsid w:val="001911D0"/>
    <w:rsid w:val="00195104"/>
    <w:rsid w:val="0019514F"/>
    <w:rsid w:val="001A0D0D"/>
    <w:rsid w:val="001A5D87"/>
    <w:rsid w:val="001B05B5"/>
    <w:rsid w:val="001B06FA"/>
    <w:rsid w:val="001C5532"/>
    <w:rsid w:val="001C7A42"/>
    <w:rsid w:val="001D75F4"/>
    <w:rsid w:val="001E274C"/>
    <w:rsid w:val="001E5724"/>
    <w:rsid w:val="001F250B"/>
    <w:rsid w:val="002049AD"/>
    <w:rsid w:val="00205460"/>
    <w:rsid w:val="0020746B"/>
    <w:rsid w:val="002101C7"/>
    <w:rsid w:val="00221ADA"/>
    <w:rsid w:val="00222F2D"/>
    <w:rsid w:val="002243DA"/>
    <w:rsid w:val="002244C5"/>
    <w:rsid w:val="00241127"/>
    <w:rsid w:val="00252D7F"/>
    <w:rsid w:val="002709EF"/>
    <w:rsid w:val="002748BF"/>
    <w:rsid w:val="00275192"/>
    <w:rsid w:val="00281B5B"/>
    <w:rsid w:val="002920AD"/>
    <w:rsid w:val="002A0781"/>
    <w:rsid w:val="002A34E2"/>
    <w:rsid w:val="002A556C"/>
    <w:rsid w:val="002B11B4"/>
    <w:rsid w:val="002B20C4"/>
    <w:rsid w:val="002B619C"/>
    <w:rsid w:val="002E42D0"/>
    <w:rsid w:val="002F74B0"/>
    <w:rsid w:val="003125A7"/>
    <w:rsid w:val="00314984"/>
    <w:rsid w:val="003163CA"/>
    <w:rsid w:val="0031744E"/>
    <w:rsid w:val="00323D39"/>
    <w:rsid w:val="00332054"/>
    <w:rsid w:val="00334EB0"/>
    <w:rsid w:val="003371A3"/>
    <w:rsid w:val="0033728D"/>
    <w:rsid w:val="003503CD"/>
    <w:rsid w:val="0036017F"/>
    <w:rsid w:val="003818F8"/>
    <w:rsid w:val="00391B36"/>
    <w:rsid w:val="003A2C57"/>
    <w:rsid w:val="003A7407"/>
    <w:rsid w:val="003B789C"/>
    <w:rsid w:val="003D4BA0"/>
    <w:rsid w:val="004025FE"/>
    <w:rsid w:val="00403B34"/>
    <w:rsid w:val="00407817"/>
    <w:rsid w:val="004147A0"/>
    <w:rsid w:val="00414999"/>
    <w:rsid w:val="004209A4"/>
    <w:rsid w:val="004436C1"/>
    <w:rsid w:val="0045117F"/>
    <w:rsid w:val="004527F4"/>
    <w:rsid w:val="00453B6F"/>
    <w:rsid w:val="00461D37"/>
    <w:rsid w:val="00462543"/>
    <w:rsid w:val="00466760"/>
    <w:rsid w:val="004941A7"/>
    <w:rsid w:val="004A1ACD"/>
    <w:rsid w:val="004B2DDC"/>
    <w:rsid w:val="004B4DFE"/>
    <w:rsid w:val="004D19B8"/>
    <w:rsid w:val="004D6A98"/>
    <w:rsid w:val="004E2FBE"/>
    <w:rsid w:val="004E4315"/>
    <w:rsid w:val="004E603A"/>
    <w:rsid w:val="004F544B"/>
    <w:rsid w:val="005104FD"/>
    <w:rsid w:val="005216A3"/>
    <w:rsid w:val="005337C6"/>
    <w:rsid w:val="00535B8C"/>
    <w:rsid w:val="0054242D"/>
    <w:rsid w:val="00550983"/>
    <w:rsid w:val="00570BC5"/>
    <w:rsid w:val="00573E23"/>
    <w:rsid w:val="00574692"/>
    <w:rsid w:val="0058560C"/>
    <w:rsid w:val="0059444C"/>
    <w:rsid w:val="00597915"/>
    <w:rsid w:val="005A36F3"/>
    <w:rsid w:val="005A3E5D"/>
    <w:rsid w:val="005B4840"/>
    <w:rsid w:val="005B6B90"/>
    <w:rsid w:val="005B7826"/>
    <w:rsid w:val="005C27A8"/>
    <w:rsid w:val="005D1CE0"/>
    <w:rsid w:val="005D3C05"/>
    <w:rsid w:val="005D4B07"/>
    <w:rsid w:val="005D5842"/>
    <w:rsid w:val="005D651E"/>
    <w:rsid w:val="005E4D65"/>
    <w:rsid w:val="005E5E1F"/>
    <w:rsid w:val="005E7E5D"/>
    <w:rsid w:val="005F477D"/>
    <w:rsid w:val="005F4E3D"/>
    <w:rsid w:val="005F71FA"/>
    <w:rsid w:val="006075BE"/>
    <w:rsid w:val="00617A35"/>
    <w:rsid w:val="006230AE"/>
    <w:rsid w:val="006261AE"/>
    <w:rsid w:val="00630C17"/>
    <w:rsid w:val="0064797A"/>
    <w:rsid w:val="00656494"/>
    <w:rsid w:val="00656980"/>
    <w:rsid w:val="00657580"/>
    <w:rsid w:val="006615FD"/>
    <w:rsid w:val="006655B0"/>
    <w:rsid w:val="00681FBF"/>
    <w:rsid w:val="006878B8"/>
    <w:rsid w:val="0069362E"/>
    <w:rsid w:val="006A5096"/>
    <w:rsid w:val="006C1227"/>
    <w:rsid w:val="006F5116"/>
    <w:rsid w:val="006F58D7"/>
    <w:rsid w:val="007137F5"/>
    <w:rsid w:val="00722F40"/>
    <w:rsid w:val="00723616"/>
    <w:rsid w:val="0075442E"/>
    <w:rsid w:val="00754C49"/>
    <w:rsid w:val="007676A1"/>
    <w:rsid w:val="007761D5"/>
    <w:rsid w:val="00777DE0"/>
    <w:rsid w:val="0078502B"/>
    <w:rsid w:val="00797747"/>
    <w:rsid w:val="007B43F8"/>
    <w:rsid w:val="007C3B3A"/>
    <w:rsid w:val="007E0C0F"/>
    <w:rsid w:val="007F3F04"/>
    <w:rsid w:val="007F5C7A"/>
    <w:rsid w:val="00821606"/>
    <w:rsid w:val="00825BF3"/>
    <w:rsid w:val="00830234"/>
    <w:rsid w:val="008505C5"/>
    <w:rsid w:val="00860A7F"/>
    <w:rsid w:val="00860BDE"/>
    <w:rsid w:val="00866A46"/>
    <w:rsid w:val="00871B30"/>
    <w:rsid w:val="00874834"/>
    <w:rsid w:val="008A563D"/>
    <w:rsid w:val="008A6731"/>
    <w:rsid w:val="008C507F"/>
    <w:rsid w:val="008D1002"/>
    <w:rsid w:val="008E1B23"/>
    <w:rsid w:val="008E585A"/>
    <w:rsid w:val="008F7C97"/>
    <w:rsid w:val="0091021D"/>
    <w:rsid w:val="009103D8"/>
    <w:rsid w:val="00934360"/>
    <w:rsid w:val="00937F93"/>
    <w:rsid w:val="00946FC5"/>
    <w:rsid w:val="0095272C"/>
    <w:rsid w:val="009616F3"/>
    <w:rsid w:val="00972011"/>
    <w:rsid w:val="009731D9"/>
    <w:rsid w:val="009800C8"/>
    <w:rsid w:val="009848BB"/>
    <w:rsid w:val="009852DB"/>
    <w:rsid w:val="00986AE8"/>
    <w:rsid w:val="009910DB"/>
    <w:rsid w:val="009A30A6"/>
    <w:rsid w:val="009C384E"/>
    <w:rsid w:val="009D51D7"/>
    <w:rsid w:val="009E5872"/>
    <w:rsid w:val="009E6FFF"/>
    <w:rsid w:val="009F0DCD"/>
    <w:rsid w:val="00A026D8"/>
    <w:rsid w:val="00A145CF"/>
    <w:rsid w:val="00A170F4"/>
    <w:rsid w:val="00A53D7B"/>
    <w:rsid w:val="00A607B3"/>
    <w:rsid w:val="00A82E89"/>
    <w:rsid w:val="00A8682A"/>
    <w:rsid w:val="00A9519D"/>
    <w:rsid w:val="00AA57BA"/>
    <w:rsid w:val="00AB1C75"/>
    <w:rsid w:val="00AB1F5E"/>
    <w:rsid w:val="00AB2DAF"/>
    <w:rsid w:val="00AC3C9B"/>
    <w:rsid w:val="00AC3D67"/>
    <w:rsid w:val="00AC5775"/>
    <w:rsid w:val="00AD054E"/>
    <w:rsid w:val="00AD1BC0"/>
    <w:rsid w:val="00AF5A6F"/>
    <w:rsid w:val="00B01558"/>
    <w:rsid w:val="00B111CB"/>
    <w:rsid w:val="00B14323"/>
    <w:rsid w:val="00B20BE7"/>
    <w:rsid w:val="00B22C18"/>
    <w:rsid w:val="00B25E1F"/>
    <w:rsid w:val="00B27A58"/>
    <w:rsid w:val="00B34535"/>
    <w:rsid w:val="00B4149A"/>
    <w:rsid w:val="00B4295A"/>
    <w:rsid w:val="00B51D9E"/>
    <w:rsid w:val="00B52B5D"/>
    <w:rsid w:val="00B5672B"/>
    <w:rsid w:val="00B575DF"/>
    <w:rsid w:val="00B65089"/>
    <w:rsid w:val="00B678B7"/>
    <w:rsid w:val="00BA3C2D"/>
    <w:rsid w:val="00BC47AC"/>
    <w:rsid w:val="00BE09A9"/>
    <w:rsid w:val="00BE459E"/>
    <w:rsid w:val="00BF772A"/>
    <w:rsid w:val="00BF7B59"/>
    <w:rsid w:val="00C0331C"/>
    <w:rsid w:val="00C05ACE"/>
    <w:rsid w:val="00C134C1"/>
    <w:rsid w:val="00C15349"/>
    <w:rsid w:val="00C21278"/>
    <w:rsid w:val="00C2279E"/>
    <w:rsid w:val="00C2383E"/>
    <w:rsid w:val="00C326EC"/>
    <w:rsid w:val="00C36995"/>
    <w:rsid w:val="00C407D6"/>
    <w:rsid w:val="00C41D0A"/>
    <w:rsid w:val="00C46A10"/>
    <w:rsid w:val="00C52FF5"/>
    <w:rsid w:val="00C61B82"/>
    <w:rsid w:val="00C657AB"/>
    <w:rsid w:val="00C71863"/>
    <w:rsid w:val="00C71CA4"/>
    <w:rsid w:val="00C74D8C"/>
    <w:rsid w:val="00C82700"/>
    <w:rsid w:val="00C84215"/>
    <w:rsid w:val="00C874E6"/>
    <w:rsid w:val="00C9124D"/>
    <w:rsid w:val="00C93EB8"/>
    <w:rsid w:val="00CB0AA3"/>
    <w:rsid w:val="00CB36F7"/>
    <w:rsid w:val="00CC156F"/>
    <w:rsid w:val="00CD6DF9"/>
    <w:rsid w:val="00CE542B"/>
    <w:rsid w:val="00CF02C0"/>
    <w:rsid w:val="00CF0A42"/>
    <w:rsid w:val="00CF32E3"/>
    <w:rsid w:val="00CF3A76"/>
    <w:rsid w:val="00D07F7B"/>
    <w:rsid w:val="00D16A17"/>
    <w:rsid w:val="00D23E4F"/>
    <w:rsid w:val="00D31E3F"/>
    <w:rsid w:val="00D33F36"/>
    <w:rsid w:val="00D4316C"/>
    <w:rsid w:val="00D62790"/>
    <w:rsid w:val="00D8002E"/>
    <w:rsid w:val="00D811F8"/>
    <w:rsid w:val="00D91FBD"/>
    <w:rsid w:val="00DA5FC4"/>
    <w:rsid w:val="00DB069C"/>
    <w:rsid w:val="00DB69CF"/>
    <w:rsid w:val="00DC2CA7"/>
    <w:rsid w:val="00DC50AF"/>
    <w:rsid w:val="00DE7EDC"/>
    <w:rsid w:val="00DF13E8"/>
    <w:rsid w:val="00DF42E3"/>
    <w:rsid w:val="00DF616D"/>
    <w:rsid w:val="00E029BA"/>
    <w:rsid w:val="00E23058"/>
    <w:rsid w:val="00E241AA"/>
    <w:rsid w:val="00E344CB"/>
    <w:rsid w:val="00E46AAF"/>
    <w:rsid w:val="00E65B81"/>
    <w:rsid w:val="00E70425"/>
    <w:rsid w:val="00E7330F"/>
    <w:rsid w:val="00E8281C"/>
    <w:rsid w:val="00E87902"/>
    <w:rsid w:val="00E94DEB"/>
    <w:rsid w:val="00EA14F0"/>
    <w:rsid w:val="00EA6520"/>
    <w:rsid w:val="00EB105D"/>
    <w:rsid w:val="00EB3796"/>
    <w:rsid w:val="00EC79E1"/>
    <w:rsid w:val="00ED655F"/>
    <w:rsid w:val="00EE5CD3"/>
    <w:rsid w:val="00EF6CA2"/>
    <w:rsid w:val="00EF6FA6"/>
    <w:rsid w:val="00EF7B4B"/>
    <w:rsid w:val="00F06A72"/>
    <w:rsid w:val="00F105D9"/>
    <w:rsid w:val="00F14B44"/>
    <w:rsid w:val="00F2632F"/>
    <w:rsid w:val="00F46F69"/>
    <w:rsid w:val="00F636D2"/>
    <w:rsid w:val="00F87F88"/>
    <w:rsid w:val="00FA03CB"/>
    <w:rsid w:val="00FA4B61"/>
    <w:rsid w:val="00FC17AC"/>
    <w:rsid w:val="00FD3FCF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D77B"/>
  <w15:docId w15:val="{AC9759DF-80C9-47E4-805B-35055660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List Paragraph1,body 2"/>
    <w:basedOn w:val="Normal"/>
    <w:uiPriority w:val="34"/>
    <w:qFormat/>
    <w:rsid w:val="002A556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2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23E4F"/>
    <w:rPr>
      <w:rFonts w:ascii="Tahoma" w:hAnsi="Tahoma" w:cs="Tahoma"/>
      <w:sz w:val="16"/>
      <w:szCs w:val="16"/>
    </w:rPr>
  </w:style>
  <w:style w:type="paragraph" w:customStyle="1" w:styleId="yiv8577213507msonormal">
    <w:name w:val="yiv8577213507msonormal"/>
    <w:basedOn w:val="Normal"/>
    <w:rsid w:val="00EF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nhideWhenUsed/>
    <w:rsid w:val="0036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6017F"/>
  </w:style>
  <w:style w:type="paragraph" w:styleId="Subsol">
    <w:name w:val="footer"/>
    <w:basedOn w:val="Normal"/>
    <w:link w:val="SubsolCaracter"/>
    <w:uiPriority w:val="99"/>
    <w:unhideWhenUsed/>
    <w:rsid w:val="0036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017F"/>
  </w:style>
  <w:style w:type="paragraph" w:styleId="NormalWeb">
    <w:name w:val="Normal (Web)"/>
    <w:basedOn w:val="Normal"/>
    <w:uiPriority w:val="99"/>
    <w:unhideWhenUsed/>
    <w:rsid w:val="0012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-blue">
    <w:name w:val="aq-blue"/>
    <w:basedOn w:val="Fontdeparagrafimplicit"/>
    <w:rsid w:val="001247D5"/>
  </w:style>
  <w:style w:type="character" w:styleId="Accentuat">
    <w:name w:val="Emphasis"/>
    <w:basedOn w:val="Fontdeparagrafimplicit"/>
    <w:uiPriority w:val="20"/>
    <w:qFormat/>
    <w:rsid w:val="00124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1CD3-CC6A-417C-835E-FF55A2D2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9</Pages>
  <Words>2503</Words>
  <Characters>14270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Aquatim</Company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Bold</dc:creator>
  <cp:lastModifiedBy>Monica Bold</cp:lastModifiedBy>
  <cp:revision>37</cp:revision>
  <cp:lastPrinted>2023-04-21T11:48:00Z</cp:lastPrinted>
  <dcterms:created xsi:type="dcterms:W3CDTF">2023-04-24T22:14:00Z</dcterms:created>
  <dcterms:modified xsi:type="dcterms:W3CDTF">2024-04-26T06:52:00Z</dcterms:modified>
</cp:coreProperties>
</file>